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FE" w:rsidRPr="00872BFE" w:rsidRDefault="00872BFE" w:rsidP="008D66E4">
      <w:pPr>
        <w:jc w:val="center"/>
        <w:rPr>
          <w:color w:val="auto"/>
          <w:u w:val="single"/>
        </w:rPr>
      </w:pPr>
      <w:r>
        <w:rPr>
          <w:color w:val="auto"/>
        </w:rPr>
        <w:t xml:space="preserve">                                                                                                    </w:t>
      </w:r>
    </w:p>
    <w:p w:rsidR="008D66E4" w:rsidRPr="006E3772" w:rsidRDefault="006D7731" w:rsidP="006E3772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6E3772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  <w:r w:rsidR="008D66E4" w:rsidRPr="006E3772">
        <w:rPr>
          <w:rFonts w:ascii="Arial" w:hAnsi="Arial" w:cs="Arial"/>
          <w:b/>
          <w:color w:val="auto"/>
          <w:sz w:val="32"/>
          <w:szCs w:val="32"/>
        </w:rPr>
        <w:t>муниципального района «Тунгиро-Олёкминский район»</w:t>
      </w:r>
      <w:r w:rsidR="006E3772" w:rsidRPr="006E3772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6E3772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6E3772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E3772" w:rsidRPr="006E3772" w:rsidRDefault="006E3772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6E3772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E3772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300485" w:rsidRPr="008D66E4" w:rsidRDefault="00300485" w:rsidP="008D66E4">
      <w:pPr>
        <w:jc w:val="center"/>
        <w:rPr>
          <w:color w:val="auto"/>
          <w:sz w:val="24"/>
          <w:szCs w:val="36"/>
        </w:rPr>
      </w:pP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6E3772" w:rsidRDefault="006D7731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E3772">
        <w:rPr>
          <w:rFonts w:ascii="Arial" w:hAnsi="Arial" w:cs="Arial"/>
          <w:color w:val="auto"/>
          <w:sz w:val="24"/>
          <w:szCs w:val="24"/>
        </w:rPr>
        <w:t>03</w:t>
      </w:r>
      <w:r w:rsidR="0046326C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6E3772">
        <w:rPr>
          <w:rFonts w:ascii="Arial" w:hAnsi="Arial" w:cs="Arial"/>
          <w:color w:val="auto"/>
          <w:sz w:val="24"/>
          <w:szCs w:val="24"/>
        </w:rPr>
        <w:t xml:space="preserve">июля </w:t>
      </w:r>
      <w:r w:rsidR="00872BFE" w:rsidRPr="006E3772">
        <w:rPr>
          <w:rFonts w:ascii="Arial" w:hAnsi="Arial" w:cs="Arial"/>
          <w:color w:val="auto"/>
          <w:sz w:val="24"/>
          <w:szCs w:val="24"/>
        </w:rPr>
        <w:t xml:space="preserve"> 2020</w:t>
      </w:r>
      <w:proofErr w:type="gramEnd"/>
      <w:r w:rsidR="0046326C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6E3772">
        <w:rPr>
          <w:rFonts w:ascii="Arial" w:hAnsi="Arial" w:cs="Arial"/>
          <w:color w:val="auto"/>
          <w:sz w:val="24"/>
          <w:szCs w:val="24"/>
        </w:rPr>
        <w:t xml:space="preserve">года        </w:t>
      </w:r>
      <w:r w:rsidR="00435368" w:rsidRPr="006E3772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="006E3772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="00435368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="00C25424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531C68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  <w:bookmarkStart w:id="0" w:name="_GoBack"/>
      <w:bookmarkEnd w:id="0"/>
      <w:r w:rsidR="00C25424">
        <w:rPr>
          <w:rFonts w:ascii="Arial" w:hAnsi="Arial" w:cs="Arial"/>
          <w:color w:val="auto"/>
          <w:sz w:val="24"/>
          <w:szCs w:val="24"/>
        </w:rPr>
        <w:t xml:space="preserve">  </w:t>
      </w:r>
      <w:r w:rsidR="00300485" w:rsidRPr="006E3772">
        <w:rPr>
          <w:rFonts w:ascii="Arial" w:hAnsi="Arial" w:cs="Arial"/>
          <w:color w:val="auto"/>
          <w:sz w:val="24"/>
          <w:szCs w:val="24"/>
        </w:rPr>
        <w:t>№</w:t>
      </w:r>
      <w:r w:rsidR="006D0E77" w:rsidRPr="006E3772">
        <w:rPr>
          <w:rFonts w:ascii="Arial" w:hAnsi="Arial" w:cs="Arial"/>
          <w:color w:val="auto"/>
          <w:sz w:val="24"/>
          <w:szCs w:val="24"/>
        </w:rPr>
        <w:t xml:space="preserve"> </w:t>
      </w:r>
      <w:r w:rsidRPr="006E3772">
        <w:rPr>
          <w:rFonts w:ascii="Arial" w:hAnsi="Arial" w:cs="Arial"/>
          <w:color w:val="auto"/>
          <w:sz w:val="24"/>
          <w:szCs w:val="24"/>
        </w:rPr>
        <w:t>105</w:t>
      </w:r>
    </w:p>
    <w:p w:rsidR="006E3772" w:rsidRPr="006E3772" w:rsidRDefault="006E3772" w:rsidP="006E3772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6E3772" w:rsidRPr="006E3772" w:rsidRDefault="006E3772" w:rsidP="006E3772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6E3772">
        <w:rPr>
          <w:rFonts w:ascii="Arial" w:hAnsi="Arial" w:cs="Arial"/>
          <w:color w:val="auto"/>
          <w:sz w:val="24"/>
          <w:szCs w:val="24"/>
        </w:rPr>
        <w:t>с. Тупик</w:t>
      </w:r>
    </w:p>
    <w:p w:rsidR="00E37514" w:rsidRDefault="00E37514" w:rsidP="00E37514"/>
    <w:p w:rsidR="005E0FDC" w:rsidRDefault="005E0FDC" w:rsidP="00E33164">
      <w:pPr>
        <w:pStyle w:val="a0"/>
        <w:spacing w:after="0"/>
        <w:jc w:val="both"/>
        <w:rPr>
          <w:bCs/>
        </w:rPr>
      </w:pPr>
    </w:p>
    <w:p w:rsidR="00E37514" w:rsidRPr="006E3772" w:rsidRDefault="00F14D99" w:rsidP="006D7731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E3772">
        <w:rPr>
          <w:rFonts w:ascii="Arial" w:hAnsi="Arial" w:cs="Arial"/>
          <w:b/>
          <w:bCs/>
          <w:sz w:val="32"/>
          <w:szCs w:val="32"/>
        </w:rPr>
        <w:t>О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б утверждении муниципальной Программы</w:t>
      </w:r>
      <w:r w:rsidR="006D7731" w:rsidRPr="006E3772">
        <w:rPr>
          <w:rFonts w:ascii="Arial" w:hAnsi="Arial" w:cs="Arial"/>
          <w:b/>
          <w:bCs/>
          <w:sz w:val="32"/>
          <w:szCs w:val="32"/>
        </w:rPr>
        <w:t xml:space="preserve"> «Комплексное развитие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транспортной</w:t>
      </w:r>
      <w:r w:rsidR="006D7731" w:rsidRPr="006E37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инфраструктуры» в муниципальном районе</w:t>
      </w:r>
      <w:r w:rsidR="00C25424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>«Ту</w:t>
      </w:r>
      <w:r w:rsidR="00872BFE" w:rsidRPr="006E3772">
        <w:rPr>
          <w:rFonts w:ascii="Arial" w:hAnsi="Arial" w:cs="Arial"/>
          <w:b/>
          <w:bCs/>
          <w:sz w:val="32"/>
          <w:szCs w:val="32"/>
        </w:rPr>
        <w:t>нгиро-Олекминский район» на 2021-2023</w:t>
      </w:r>
      <w:r w:rsidR="00E33164" w:rsidRPr="006E3772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="00FB4ACF" w:rsidRPr="006E3772">
        <w:rPr>
          <w:rFonts w:ascii="Arial" w:hAnsi="Arial" w:cs="Arial"/>
          <w:b/>
          <w:bCs/>
          <w:sz w:val="32"/>
          <w:szCs w:val="32"/>
        </w:rPr>
        <w:t>»</w:t>
      </w:r>
      <w:r w:rsidR="0016760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167605">
        <w:rPr>
          <w:rFonts w:ascii="Arial" w:hAnsi="Arial" w:cs="Arial"/>
          <w:b/>
          <w:bCs/>
          <w:sz w:val="32"/>
          <w:szCs w:val="32"/>
        </w:rPr>
        <w:t>( в</w:t>
      </w:r>
      <w:proofErr w:type="gramEnd"/>
      <w:r w:rsidR="00167605">
        <w:rPr>
          <w:rFonts w:ascii="Arial" w:hAnsi="Arial" w:cs="Arial"/>
          <w:b/>
          <w:bCs/>
          <w:sz w:val="32"/>
          <w:szCs w:val="32"/>
        </w:rPr>
        <w:t xml:space="preserve"> ред. Постановления № </w:t>
      </w:r>
      <w:r w:rsidR="00E579DA">
        <w:rPr>
          <w:rFonts w:ascii="Arial" w:hAnsi="Arial" w:cs="Arial"/>
          <w:b/>
          <w:bCs/>
          <w:sz w:val="32"/>
          <w:szCs w:val="32"/>
        </w:rPr>
        <w:t>2</w:t>
      </w:r>
      <w:r w:rsidR="00167605">
        <w:rPr>
          <w:rFonts w:ascii="Arial" w:hAnsi="Arial" w:cs="Arial"/>
          <w:b/>
          <w:bCs/>
          <w:sz w:val="32"/>
          <w:szCs w:val="32"/>
        </w:rPr>
        <w:t xml:space="preserve">4 от </w:t>
      </w:r>
      <w:r w:rsidR="00E579DA">
        <w:rPr>
          <w:rFonts w:ascii="Arial" w:hAnsi="Arial" w:cs="Arial"/>
          <w:b/>
          <w:bCs/>
          <w:sz w:val="32"/>
          <w:szCs w:val="32"/>
        </w:rPr>
        <w:t>01.03</w:t>
      </w:r>
      <w:r w:rsidR="00167605">
        <w:rPr>
          <w:rFonts w:ascii="Arial" w:hAnsi="Arial" w:cs="Arial"/>
          <w:b/>
          <w:bCs/>
          <w:sz w:val="32"/>
          <w:szCs w:val="32"/>
        </w:rPr>
        <w:t>.202</w:t>
      </w:r>
      <w:r w:rsidR="00E579DA">
        <w:rPr>
          <w:rFonts w:ascii="Arial" w:hAnsi="Arial" w:cs="Arial"/>
          <w:b/>
          <w:bCs/>
          <w:sz w:val="32"/>
          <w:szCs w:val="32"/>
        </w:rPr>
        <w:t xml:space="preserve">1 </w:t>
      </w:r>
      <w:r w:rsidR="00167605">
        <w:rPr>
          <w:rFonts w:ascii="Arial" w:hAnsi="Arial" w:cs="Arial"/>
          <w:b/>
          <w:bCs/>
          <w:sz w:val="32"/>
          <w:szCs w:val="32"/>
        </w:rPr>
        <w:t>г.)</w:t>
      </w:r>
      <w:r w:rsidR="006E3772">
        <w:rPr>
          <w:rFonts w:ascii="Arial" w:hAnsi="Arial" w:cs="Arial"/>
          <w:b/>
          <w:bCs/>
          <w:sz w:val="32"/>
          <w:szCs w:val="32"/>
        </w:rPr>
        <w:t>.</w:t>
      </w:r>
    </w:p>
    <w:p w:rsidR="005E0FDC" w:rsidRPr="006E3772" w:rsidRDefault="005E0FDC" w:rsidP="00E37514">
      <w:pPr>
        <w:jc w:val="both"/>
        <w:rPr>
          <w:rFonts w:ascii="Arial" w:hAnsi="Arial" w:cs="Arial"/>
          <w:sz w:val="32"/>
          <w:szCs w:val="32"/>
        </w:rPr>
      </w:pPr>
    </w:p>
    <w:p w:rsidR="005E0FDC" w:rsidRDefault="005E0FDC" w:rsidP="00FB4ACF">
      <w:pPr>
        <w:ind w:firstLine="709"/>
        <w:jc w:val="both"/>
        <w:outlineLvl w:val="0"/>
      </w:pPr>
    </w:p>
    <w:p w:rsidR="00DE59A1" w:rsidRPr="006E3772" w:rsidRDefault="00E37514" w:rsidP="00FB4AC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В соответствии с</w:t>
      </w:r>
      <w:r w:rsidR="00FB4ACF" w:rsidRPr="006E3772">
        <w:rPr>
          <w:rFonts w:ascii="Arial" w:hAnsi="Arial" w:cs="Arial"/>
          <w:sz w:val="24"/>
          <w:szCs w:val="24"/>
        </w:rPr>
        <w:t xml:space="preserve">о статьей 10 Устава муниципального района «Тунгиро-Олекминский район», </w:t>
      </w:r>
      <w:r w:rsidR="00BD5908" w:rsidRPr="006E3772">
        <w:rPr>
          <w:rFonts w:ascii="Arial" w:hAnsi="Arial" w:cs="Arial"/>
          <w:sz w:val="24"/>
          <w:szCs w:val="24"/>
        </w:rPr>
        <w:t>«</w:t>
      </w:r>
      <w:r w:rsidR="00FB4ACF" w:rsidRPr="006E3772">
        <w:rPr>
          <w:rFonts w:ascii="Arial" w:hAnsi="Arial" w:cs="Arial"/>
          <w:sz w:val="24"/>
          <w:szCs w:val="24"/>
        </w:rPr>
        <w:t>Порядком</w:t>
      </w:r>
      <w:r w:rsidR="00155A98" w:rsidRPr="006E3772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6E3772">
        <w:rPr>
          <w:rFonts w:ascii="Arial" w:hAnsi="Arial" w:cs="Arial"/>
          <w:sz w:val="24"/>
          <w:szCs w:val="24"/>
        </w:rPr>
        <w:t xml:space="preserve"> и корректировки муниципальных программ муниципального района «Тунгиро-Олекминский район»</w:t>
      </w:r>
      <w:r w:rsidR="00BD5908" w:rsidRPr="006E3772">
        <w:rPr>
          <w:rFonts w:ascii="Arial" w:hAnsi="Arial" w:cs="Arial"/>
          <w:sz w:val="24"/>
          <w:szCs w:val="24"/>
        </w:rPr>
        <w:t>, осуществления мониторинга и контроля их реализации» утвержденного</w:t>
      </w:r>
      <w:r w:rsidR="00B35501" w:rsidRPr="006E3772">
        <w:rPr>
          <w:rFonts w:ascii="Arial" w:hAnsi="Arial" w:cs="Arial"/>
          <w:sz w:val="24"/>
          <w:szCs w:val="24"/>
        </w:rPr>
        <w:t xml:space="preserve"> п</w:t>
      </w:r>
      <w:r w:rsidR="00BD5908" w:rsidRPr="006E3772">
        <w:rPr>
          <w:rFonts w:ascii="Arial" w:hAnsi="Arial" w:cs="Arial"/>
          <w:sz w:val="24"/>
          <w:szCs w:val="24"/>
        </w:rPr>
        <w:t xml:space="preserve">остановлением Главы муниципального района «Тунгиро-Олекминский район» от 08 декабря </w:t>
      </w:r>
      <w:r w:rsidR="005842AE" w:rsidRPr="006E3772">
        <w:rPr>
          <w:rFonts w:ascii="Arial" w:hAnsi="Arial" w:cs="Arial"/>
          <w:sz w:val="24"/>
          <w:szCs w:val="24"/>
        </w:rPr>
        <w:t>2015 года № 212</w:t>
      </w:r>
      <w:r w:rsidR="00D2747B" w:rsidRPr="006E3772">
        <w:rPr>
          <w:rFonts w:ascii="Arial" w:hAnsi="Arial" w:cs="Arial"/>
          <w:sz w:val="24"/>
          <w:szCs w:val="24"/>
        </w:rPr>
        <w:t xml:space="preserve">, в целях создания благоприятных условий для проживания граждан на территории района, </w:t>
      </w:r>
      <w:r w:rsidR="00F84134" w:rsidRPr="006E3772">
        <w:rPr>
          <w:rFonts w:ascii="Arial" w:hAnsi="Arial" w:cs="Arial"/>
          <w:sz w:val="24"/>
          <w:szCs w:val="24"/>
        </w:rPr>
        <w:t>постановляю</w:t>
      </w:r>
      <w:r w:rsidR="00DE59A1" w:rsidRPr="006E3772">
        <w:rPr>
          <w:rFonts w:ascii="Arial" w:hAnsi="Arial" w:cs="Arial"/>
          <w:sz w:val="24"/>
          <w:szCs w:val="24"/>
        </w:rPr>
        <w:t>:</w:t>
      </w:r>
    </w:p>
    <w:p w:rsidR="00BF07FB" w:rsidRPr="006E3772" w:rsidRDefault="00DE59A1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1.Утвердить прилагаемую</w:t>
      </w:r>
      <w:r w:rsidR="00D627A8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муниципальную программу</w:t>
      </w:r>
      <w:r w:rsidR="00D627A8" w:rsidRPr="006E3772">
        <w:rPr>
          <w:rFonts w:ascii="Arial" w:hAnsi="Arial" w:cs="Arial"/>
          <w:sz w:val="24"/>
          <w:szCs w:val="24"/>
        </w:rPr>
        <w:t xml:space="preserve"> «Комплексное разви</w:t>
      </w:r>
      <w:r w:rsidR="001525DB" w:rsidRPr="006E3772">
        <w:rPr>
          <w:rFonts w:ascii="Arial" w:hAnsi="Arial" w:cs="Arial"/>
          <w:sz w:val="24"/>
          <w:szCs w:val="24"/>
        </w:rPr>
        <w:t>тие транспортной инфраструктуры</w:t>
      </w:r>
      <w:r w:rsidR="00D627A8" w:rsidRPr="006E3772">
        <w:rPr>
          <w:rFonts w:ascii="Arial" w:hAnsi="Arial" w:cs="Arial"/>
          <w:sz w:val="24"/>
          <w:szCs w:val="24"/>
        </w:rPr>
        <w:t xml:space="preserve"> в муниципальном районе «Ту</w:t>
      </w:r>
      <w:r w:rsidR="00872BFE" w:rsidRPr="006E3772">
        <w:rPr>
          <w:rFonts w:ascii="Arial" w:hAnsi="Arial" w:cs="Arial"/>
          <w:sz w:val="24"/>
          <w:szCs w:val="24"/>
        </w:rPr>
        <w:t>нгиро-Олекминский район» на 2021-2023</w:t>
      </w:r>
      <w:r w:rsidR="00D627A8" w:rsidRPr="006E3772">
        <w:rPr>
          <w:rFonts w:ascii="Arial" w:hAnsi="Arial" w:cs="Arial"/>
          <w:sz w:val="24"/>
          <w:szCs w:val="24"/>
        </w:rPr>
        <w:t xml:space="preserve"> годы».</w:t>
      </w:r>
    </w:p>
    <w:p w:rsidR="00BF07FB" w:rsidRPr="006E3772" w:rsidRDefault="00BF07FB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2.</w:t>
      </w:r>
      <w:r w:rsidR="005E0FDC" w:rsidRPr="006E3772">
        <w:rPr>
          <w:rFonts w:ascii="Arial" w:hAnsi="Arial" w:cs="Arial"/>
          <w:sz w:val="24"/>
          <w:szCs w:val="24"/>
        </w:rPr>
        <w:t xml:space="preserve"> </w:t>
      </w:r>
      <w:r w:rsidR="00DA136F" w:rsidRPr="006E3772">
        <w:rPr>
          <w:rFonts w:ascii="Arial" w:hAnsi="Arial" w:cs="Arial"/>
          <w:sz w:val="24"/>
          <w:szCs w:val="24"/>
        </w:rPr>
        <w:t>Настоящее</w:t>
      </w:r>
      <w:r w:rsidR="00B35501" w:rsidRPr="006E3772">
        <w:rPr>
          <w:rFonts w:ascii="Arial" w:hAnsi="Arial" w:cs="Arial"/>
          <w:sz w:val="24"/>
          <w:szCs w:val="24"/>
        </w:rPr>
        <w:t xml:space="preserve"> п</w:t>
      </w:r>
      <w:r w:rsidRPr="006E3772">
        <w:rPr>
          <w:rFonts w:ascii="Arial" w:hAnsi="Arial" w:cs="Arial"/>
          <w:sz w:val="24"/>
          <w:szCs w:val="24"/>
        </w:rPr>
        <w:t>остановл</w:t>
      </w:r>
      <w:r w:rsidR="00B35501" w:rsidRPr="006E3772">
        <w:rPr>
          <w:rFonts w:ascii="Arial" w:hAnsi="Arial" w:cs="Arial"/>
          <w:sz w:val="24"/>
          <w:szCs w:val="24"/>
        </w:rPr>
        <w:t>ение вступае</w:t>
      </w:r>
      <w:r w:rsidR="005842AE" w:rsidRPr="006E3772">
        <w:rPr>
          <w:rFonts w:ascii="Arial" w:hAnsi="Arial" w:cs="Arial"/>
          <w:sz w:val="24"/>
          <w:szCs w:val="24"/>
        </w:rPr>
        <w:t xml:space="preserve">т </w:t>
      </w:r>
      <w:r w:rsidR="00B35501" w:rsidRPr="006E3772">
        <w:rPr>
          <w:rFonts w:ascii="Arial" w:hAnsi="Arial" w:cs="Arial"/>
          <w:sz w:val="24"/>
          <w:szCs w:val="24"/>
        </w:rPr>
        <w:t xml:space="preserve">в силу с 01 января </w:t>
      </w:r>
      <w:r w:rsidR="00872BFE" w:rsidRPr="006E3772">
        <w:rPr>
          <w:rFonts w:ascii="Arial" w:hAnsi="Arial" w:cs="Arial"/>
          <w:sz w:val="24"/>
          <w:szCs w:val="24"/>
        </w:rPr>
        <w:t>2021</w:t>
      </w:r>
      <w:r w:rsidR="00BB287E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года.</w:t>
      </w:r>
    </w:p>
    <w:p w:rsidR="005B058A" w:rsidRPr="006E3772" w:rsidRDefault="00BF07FB" w:rsidP="0043427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3.</w:t>
      </w:r>
      <w:r w:rsidR="00B35501" w:rsidRPr="006E3772">
        <w:rPr>
          <w:rFonts w:ascii="Arial" w:hAnsi="Arial" w:cs="Arial"/>
          <w:sz w:val="24"/>
          <w:szCs w:val="24"/>
        </w:rPr>
        <w:t>Считать утратившим силу п</w:t>
      </w:r>
      <w:r w:rsidRPr="006E3772">
        <w:rPr>
          <w:rFonts w:ascii="Arial" w:hAnsi="Arial" w:cs="Arial"/>
          <w:sz w:val="24"/>
          <w:szCs w:val="24"/>
        </w:rPr>
        <w:t>остановление Главы муниципального района «Тунгиро-Ол</w:t>
      </w:r>
      <w:r w:rsidR="001804BF" w:rsidRPr="006E3772">
        <w:rPr>
          <w:rFonts w:ascii="Arial" w:hAnsi="Arial" w:cs="Arial"/>
          <w:sz w:val="24"/>
          <w:szCs w:val="24"/>
        </w:rPr>
        <w:t xml:space="preserve">екминский район» от </w:t>
      </w:r>
      <w:r w:rsidR="00872BFE" w:rsidRPr="006E3772">
        <w:rPr>
          <w:rFonts w:ascii="Arial" w:hAnsi="Arial" w:cs="Arial"/>
          <w:sz w:val="24"/>
          <w:szCs w:val="24"/>
        </w:rPr>
        <w:t xml:space="preserve">28 сентября </w:t>
      </w:r>
      <w:proofErr w:type="gramStart"/>
      <w:r w:rsidR="00872BFE" w:rsidRPr="006E3772">
        <w:rPr>
          <w:rFonts w:ascii="Arial" w:hAnsi="Arial" w:cs="Arial"/>
          <w:sz w:val="24"/>
          <w:szCs w:val="24"/>
        </w:rPr>
        <w:t>2017  года</w:t>
      </w:r>
      <w:proofErr w:type="gramEnd"/>
      <w:r w:rsidR="00872BFE" w:rsidRPr="006E3772">
        <w:rPr>
          <w:rFonts w:ascii="Arial" w:hAnsi="Arial" w:cs="Arial"/>
          <w:sz w:val="24"/>
          <w:szCs w:val="24"/>
        </w:rPr>
        <w:t xml:space="preserve"> № 144</w:t>
      </w:r>
      <w:r w:rsidRPr="006E3772">
        <w:rPr>
          <w:rFonts w:ascii="Arial" w:hAnsi="Arial" w:cs="Arial"/>
          <w:sz w:val="24"/>
          <w:szCs w:val="24"/>
        </w:rPr>
        <w:t xml:space="preserve"> </w:t>
      </w:r>
      <w:r w:rsidR="00F277AD" w:rsidRPr="006E3772">
        <w:rPr>
          <w:rFonts w:ascii="Arial" w:hAnsi="Arial" w:cs="Arial"/>
          <w:sz w:val="24"/>
          <w:szCs w:val="24"/>
        </w:rPr>
        <w:t xml:space="preserve"> «Об утверждении муниципальной программы</w:t>
      </w:r>
      <w:r w:rsidR="00B93779" w:rsidRPr="006E3772">
        <w:rPr>
          <w:rFonts w:ascii="Arial" w:hAnsi="Arial" w:cs="Arial"/>
          <w:sz w:val="24"/>
          <w:szCs w:val="24"/>
        </w:rPr>
        <w:t xml:space="preserve"> </w:t>
      </w:r>
      <w:r w:rsidR="0043427F" w:rsidRPr="006E3772">
        <w:rPr>
          <w:rFonts w:ascii="Arial" w:hAnsi="Arial" w:cs="Arial"/>
          <w:sz w:val="24"/>
          <w:szCs w:val="24"/>
        </w:rPr>
        <w:t>«Комплексное развитие транспортной инфраструктуры» в муниципальном районе «Тунгиро-Олекми</w:t>
      </w:r>
      <w:r w:rsidR="00CC6B43" w:rsidRPr="006E3772">
        <w:rPr>
          <w:rFonts w:ascii="Arial" w:hAnsi="Arial" w:cs="Arial"/>
          <w:sz w:val="24"/>
          <w:szCs w:val="24"/>
        </w:rPr>
        <w:t>нский район» на 2018-2020 годы»,</w:t>
      </w:r>
      <w:r w:rsidR="00B35501" w:rsidRPr="006E3772">
        <w:rPr>
          <w:rFonts w:ascii="Arial" w:hAnsi="Arial" w:cs="Arial"/>
          <w:sz w:val="24"/>
          <w:szCs w:val="24"/>
        </w:rPr>
        <w:t xml:space="preserve"> </w:t>
      </w:r>
      <w:r w:rsidR="007F6628" w:rsidRPr="006E3772">
        <w:rPr>
          <w:rFonts w:ascii="Arial" w:hAnsi="Arial" w:cs="Arial"/>
          <w:sz w:val="24"/>
          <w:szCs w:val="24"/>
        </w:rPr>
        <w:t xml:space="preserve">с 01 января </w:t>
      </w:r>
      <w:r w:rsidR="00872BFE" w:rsidRPr="006E3772">
        <w:rPr>
          <w:rFonts w:ascii="Arial" w:hAnsi="Arial" w:cs="Arial"/>
          <w:sz w:val="24"/>
          <w:szCs w:val="24"/>
        </w:rPr>
        <w:t>2021</w:t>
      </w:r>
      <w:r w:rsidR="003A2080" w:rsidRPr="006E3772">
        <w:rPr>
          <w:rFonts w:ascii="Arial" w:hAnsi="Arial" w:cs="Arial"/>
          <w:sz w:val="24"/>
          <w:szCs w:val="24"/>
        </w:rPr>
        <w:t xml:space="preserve"> года</w:t>
      </w:r>
      <w:r w:rsidR="003A2080" w:rsidRPr="006E3772">
        <w:rPr>
          <w:rFonts w:ascii="Arial" w:hAnsi="Arial" w:cs="Arial"/>
          <w:b/>
          <w:sz w:val="24"/>
          <w:szCs w:val="24"/>
        </w:rPr>
        <w:t>.</w:t>
      </w:r>
    </w:p>
    <w:p w:rsidR="0043427F" w:rsidRPr="006E3772" w:rsidRDefault="0043427F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4.</w:t>
      </w:r>
      <w:r w:rsidR="005E0FDC" w:rsidRPr="006E3772">
        <w:rPr>
          <w:rFonts w:ascii="Arial" w:hAnsi="Arial" w:cs="Arial"/>
          <w:sz w:val="24"/>
          <w:szCs w:val="24"/>
        </w:rPr>
        <w:t xml:space="preserve"> </w:t>
      </w:r>
      <w:r w:rsidRPr="006E3772">
        <w:rPr>
          <w:rFonts w:ascii="Arial" w:hAnsi="Arial" w:cs="Arial"/>
          <w:sz w:val="24"/>
          <w:szCs w:val="24"/>
        </w:rPr>
        <w:t>Настоящее</w:t>
      </w:r>
      <w:r w:rsidR="009F3C5F" w:rsidRPr="006E3772">
        <w:rPr>
          <w:rFonts w:ascii="Arial" w:hAnsi="Arial" w:cs="Arial"/>
          <w:sz w:val="24"/>
          <w:szCs w:val="24"/>
        </w:rPr>
        <w:t xml:space="preserve"> постановление </w:t>
      </w:r>
      <w:r w:rsidR="00722B35" w:rsidRPr="006E3772">
        <w:rPr>
          <w:rFonts w:ascii="Arial" w:hAnsi="Arial" w:cs="Arial"/>
          <w:sz w:val="24"/>
          <w:szCs w:val="24"/>
        </w:rPr>
        <w:t xml:space="preserve">обнародовать путем </w:t>
      </w:r>
      <w:proofErr w:type="gramStart"/>
      <w:r w:rsidR="00722B35" w:rsidRPr="006E3772">
        <w:rPr>
          <w:rFonts w:ascii="Arial" w:hAnsi="Arial" w:cs="Arial"/>
          <w:sz w:val="24"/>
          <w:szCs w:val="24"/>
        </w:rPr>
        <w:t>размещения  на</w:t>
      </w:r>
      <w:proofErr w:type="gramEnd"/>
      <w:r w:rsidR="00722B35" w:rsidRPr="006E3772">
        <w:rPr>
          <w:rFonts w:ascii="Arial" w:hAnsi="Arial" w:cs="Arial"/>
          <w:sz w:val="24"/>
          <w:szCs w:val="24"/>
        </w:rPr>
        <w:t xml:space="preserve"> официальном сайте а</w:t>
      </w:r>
      <w:r w:rsidR="009F3C5F" w:rsidRPr="006E3772">
        <w:rPr>
          <w:rFonts w:ascii="Arial" w:hAnsi="Arial" w:cs="Arial"/>
          <w:sz w:val="24"/>
          <w:szCs w:val="24"/>
        </w:rPr>
        <w:t xml:space="preserve">дминистрации муниципального района «Тунгиро-Олёкминский район» в </w:t>
      </w:r>
      <w:r w:rsidR="005D7F4F" w:rsidRPr="006E3772">
        <w:rPr>
          <w:rFonts w:ascii="Arial" w:hAnsi="Arial" w:cs="Arial"/>
          <w:sz w:val="24"/>
          <w:szCs w:val="24"/>
        </w:rPr>
        <w:t>информационно-</w:t>
      </w:r>
      <w:r w:rsidR="009F3C5F" w:rsidRPr="006E3772">
        <w:rPr>
          <w:rFonts w:ascii="Arial" w:hAnsi="Arial" w:cs="Arial"/>
          <w:sz w:val="24"/>
          <w:szCs w:val="24"/>
        </w:rPr>
        <w:t>телекоммуникационной сети «</w:t>
      </w:r>
      <w:r w:rsidR="003A2080" w:rsidRPr="006E3772">
        <w:rPr>
          <w:rFonts w:ascii="Arial" w:hAnsi="Arial" w:cs="Arial"/>
          <w:sz w:val="24"/>
          <w:szCs w:val="24"/>
        </w:rPr>
        <w:t>Интернет»</w:t>
      </w:r>
      <w:r w:rsidR="005D7F4F" w:rsidRPr="006E3772">
        <w:rPr>
          <w:rFonts w:ascii="Arial" w:hAnsi="Arial" w:cs="Arial"/>
          <w:sz w:val="24"/>
          <w:szCs w:val="24"/>
        </w:rPr>
        <w:t xml:space="preserve"> по адресу: </w:t>
      </w:r>
      <w:hyperlink r:id="rId7" w:history="1">
        <w:r w:rsidR="00D64722" w:rsidRPr="006E3772">
          <w:rPr>
            <w:rStyle w:val="a5"/>
            <w:rFonts w:ascii="Arial" w:hAnsi="Arial" w:cs="Arial"/>
            <w:sz w:val="24"/>
            <w:szCs w:val="24"/>
          </w:rPr>
          <w:t>http://тунгир.забайкальскийкрай.рф</w:t>
        </w:r>
      </w:hyperlink>
      <w:r w:rsidR="00D64722" w:rsidRPr="006E3772">
        <w:rPr>
          <w:rFonts w:ascii="Arial" w:hAnsi="Arial" w:cs="Arial"/>
          <w:sz w:val="24"/>
          <w:szCs w:val="24"/>
        </w:rPr>
        <w:t>.</w:t>
      </w:r>
    </w:p>
    <w:p w:rsidR="00292878" w:rsidRPr="006E3772" w:rsidRDefault="00D64722" w:rsidP="00722B35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>5</w:t>
      </w:r>
      <w:r w:rsidR="00872BFE" w:rsidRPr="006E3772">
        <w:rPr>
          <w:rFonts w:ascii="Arial" w:hAnsi="Arial" w:cs="Arial"/>
          <w:sz w:val="24"/>
          <w:szCs w:val="24"/>
        </w:rPr>
        <w:t xml:space="preserve">.  </w:t>
      </w:r>
      <w:r w:rsidR="00B07DD2" w:rsidRPr="006E377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92878" w:rsidRPr="006E3772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3772" w:rsidRDefault="006E3772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6E3772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Глава </w:t>
      </w:r>
      <w:r w:rsidR="006E79FC" w:rsidRPr="006E3772">
        <w:rPr>
          <w:rFonts w:ascii="Arial" w:hAnsi="Arial" w:cs="Arial"/>
          <w:sz w:val="24"/>
          <w:szCs w:val="24"/>
        </w:rPr>
        <w:t>муниципального района</w:t>
      </w:r>
    </w:p>
    <w:p w:rsidR="00AC4942" w:rsidRPr="006E3772" w:rsidRDefault="006E79FC" w:rsidP="00722B3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E377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6E3772">
        <w:rPr>
          <w:rFonts w:ascii="Arial" w:hAnsi="Arial" w:cs="Arial"/>
          <w:sz w:val="24"/>
          <w:szCs w:val="24"/>
        </w:rPr>
        <w:t xml:space="preserve">район»  </w:t>
      </w:r>
      <w:r w:rsidR="006E3772">
        <w:rPr>
          <w:rFonts w:ascii="Arial" w:hAnsi="Arial" w:cs="Arial"/>
          <w:sz w:val="24"/>
          <w:szCs w:val="24"/>
        </w:rPr>
        <w:t xml:space="preserve"> </w:t>
      </w:r>
      <w:proofErr w:type="gramEnd"/>
      <w:r w:rsidR="006E377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31C68">
        <w:rPr>
          <w:rFonts w:ascii="Arial" w:hAnsi="Arial" w:cs="Arial"/>
          <w:sz w:val="24"/>
          <w:szCs w:val="24"/>
        </w:rPr>
        <w:t xml:space="preserve">                                  </w:t>
      </w:r>
      <w:r w:rsidR="006E3772">
        <w:rPr>
          <w:rFonts w:ascii="Arial" w:hAnsi="Arial" w:cs="Arial"/>
          <w:sz w:val="24"/>
          <w:szCs w:val="24"/>
        </w:rPr>
        <w:t xml:space="preserve">   </w:t>
      </w:r>
      <w:r w:rsidRPr="006E3772">
        <w:rPr>
          <w:rFonts w:ascii="Arial" w:hAnsi="Arial" w:cs="Arial"/>
          <w:sz w:val="24"/>
          <w:szCs w:val="24"/>
        </w:rPr>
        <w:t xml:space="preserve"> </w:t>
      </w:r>
      <w:r w:rsidR="00292878" w:rsidRPr="006E3772">
        <w:rPr>
          <w:rFonts w:ascii="Arial" w:hAnsi="Arial" w:cs="Arial"/>
          <w:sz w:val="24"/>
          <w:szCs w:val="24"/>
        </w:rPr>
        <w:t>М.Н. Ефанов</w:t>
      </w: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6E3772" w:rsidRDefault="006E3772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A942A7" w:rsidRPr="006E3772" w:rsidRDefault="004931FD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>Ут</w:t>
      </w:r>
      <w:r w:rsidR="00A942A7" w:rsidRPr="006E3772">
        <w:rPr>
          <w:rFonts w:ascii="Arial" w:hAnsi="Arial" w:cs="Arial"/>
          <w:sz w:val="24"/>
          <w:szCs w:val="24"/>
          <w:lang w:eastAsia="zh-CN"/>
        </w:rPr>
        <w:t>верждена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Постановлением Главы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муниципального района</w:t>
      </w:r>
    </w:p>
    <w:p w:rsidR="00A942A7" w:rsidRPr="006E3772" w:rsidRDefault="00A942A7" w:rsidP="00A942A7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>«Тунгиро-Олекминский район»</w:t>
      </w:r>
    </w:p>
    <w:p w:rsidR="00A942A7" w:rsidRDefault="00A942A7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6E3772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от «03» июля 2020 г. № 105</w:t>
      </w:r>
    </w:p>
    <w:p w:rsidR="00167605" w:rsidRDefault="00167605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( в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ред. Постановления № </w:t>
      </w:r>
      <w:r w:rsidR="00E579DA">
        <w:rPr>
          <w:rFonts w:ascii="Arial" w:hAnsi="Arial" w:cs="Arial"/>
          <w:sz w:val="24"/>
          <w:szCs w:val="24"/>
          <w:lang w:eastAsia="zh-CN"/>
        </w:rPr>
        <w:t>2</w:t>
      </w:r>
      <w:r>
        <w:rPr>
          <w:rFonts w:ascii="Arial" w:hAnsi="Arial" w:cs="Arial"/>
          <w:sz w:val="24"/>
          <w:szCs w:val="24"/>
          <w:lang w:eastAsia="zh-CN"/>
        </w:rPr>
        <w:t xml:space="preserve">4 от </w:t>
      </w:r>
      <w:r w:rsidR="00E579DA">
        <w:rPr>
          <w:rFonts w:ascii="Arial" w:hAnsi="Arial" w:cs="Arial"/>
          <w:sz w:val="24"/>
          <w:szCs w:val="24"/>
          <w:lang w:eastAsia="zh-CN"/>
        </w:rPr>
        <w:t>01.03</w:t>
      </w:r>
      <w:r>
        <w:rPr>
          <w:rFonts w:ascii="Arial" w:hAnsi="Arial" w:cs="Arial"/>
          <w:sz w:val="24"/>
          <w:szCs w:val="24"/>
          <w:lang w:eastAsia="zh-CN"/>
        </w:rPr>
        <w:t>.2021 г.)</w:t>
      </w:r>
    </w:p>
    <w:p w:rsidR="00167605" w:rsidRDefault="00167605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67605" w:rsidRDefault="00167605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1. Паспорт</w:t>
      </w: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«Комплексное развитие транспортной инфраструктуры» муниципальном районе «Тунгиро-Олекминский район» на 2021 –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2023  годы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>»</w:t>
      </w:r>
    </w:p>
    <w:p w:rsidR="00E579DA" w:rsidRPr="00E579DA" w:rsidRDefault="00E579DA" w:rsidP="00E579DA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20"/>
      </w:tblGrid>
      <w:tr w:rsidR="00E579DA" w:rsidRPr="00E579DA" w:rsidTr="00AE46E0">
        <w:trPr>
          <w:cantSplit/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Муниципальная программа «Комплексное развитие транспортной инфраструктуры» в муниципальном районе «Тунгиро-Олекминский район» на 2021 – 2023 годы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579DA" w:rsidRPr="00E579DA" w:rsidTr="00AE46E0">
        <w:trPr>
          <w:cantSplit/>
          <w:trHeight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Основание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для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разработки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-Федеральный закон № 456-ФЗ от 29.12.2014 г. ст.5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« О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внесении изменений в Градостроительный кодекс РФ и отдельные законодательные акты РФ».</w:t>
            </w:r>
          </w:p>
          <w:p w:rsidR="00E579DA" w:rsidRPr="00E579DA" w:rsidRDefault="00E579DA" w:rsidP="00AE46E0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-Федеральный закон «Об общих принципах организации местного самоуправления в Российской Федерации» от 06.10.2003 № 131-ФЗ (ред. от 24.04.2020г.);</w:t>
            </w:r>
          </w:p>
          <w:p w:rsidR="00E579DA" w:rsidRPr="00E579DA" w:rsidRDefault="00E579DA" w:rsidP="00AE46E0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-Постановление Правительства Российской Федерации                                                                                                                                                                                                                      от 25.12.2015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E579DA" w:rsidRPr="00E579DA" w:rsidRDefault="00E579DA" w:rsidP="00AE46E0">
            <w:pPr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579DA" w:rsidRPr="00E579DA" w:rsidTr="00AE46E0">
        <w:trPr>
          <w:cantSplit/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Наименование заказчика, местонахождение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Администрация муниципального района «Тунгиро-Олекминский район» 673820 Забайкальского края Забайкальский край, Тунгиро-Олекминский район, </w:t>
            </w: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с.Тупик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ул.Нагорная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, 37</w:t>
            </w:r>
          </w:p>
        </w:tc>
      </w:tr>
      <w:tr w:rsidR="00E579DA" w:rsidRPr="00E579DA" w:rsidTr="00AE46E0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Наименование разработчика программы, местонахождение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Отдел строительства, земельно-имущественных отношений администрации муниципального района «Тунгиро-Олекминский район»</w:t>
            </w:r>
          </w:p>
          <w:p w:rsidR="00E579DA" w:rsidRPr="00E579DA" w:rsidRDefault="00E579DA" w:rsidP="00AE46E0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673820 Забайкальского края Забайкальский край, Тунгиро-Олекминский район, </w:t>
            </w: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с.Тупик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ул.Нагорная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, 37</w:t>
            </w:r>
          </w:p>
        </w:tc>
      </w:tr>
      <w:tr w:rsidR="00E579DA" w:rsidRPr="00E579DA" w:rsidTr="00AE46E0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Отдел строительства, земельно-имущественных отношений администрации муниципального района «Тунгиро-Олекминский район»</w:t>
            </w:r>
          </w:p>
        </w:tc>
      </w:tr>
      <w:tr w:rsidR="00E579DA" w:rsidRPr="00E579DA" w:rsidTr="00AE46E0">
        <w:trPr>
          <w:cantSplit/>
          <w:trHeight w:val="48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Соисполнители основных мероприятий Программы</w:t>
            </w:r>
          </w:p>
        </w:tc>
        <w:tc>
          <w:tcPr>
            <w:tcW w:w="7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Сельское поселение «Тупикское», Сельское поселение «Зареченское»</w:t>
            </w:r>
          </w:p>
        </w:tc>
      </w:tr>
      <w:tr w:rsidR="00E579DA" w:rsidRPr="00E579DA" w:rsidTr="00AE46E0">
        <w:trPr>
          <w:cantSplit/>
          <w:trHeight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 xml:space="preserve">Цели и задачи 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 развитие транспортной инфраструктуры на территории муниципального района «Тунгиро-Олекминский район», сбалансированное и скоординированное с иными сферами жизни деятельности района;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 формирование условий для социально-экономического развития района;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 повышение безопасности, качества и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муниципального района «Тунгиро-Олекминский район»;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 снижение негативного воздействия транспортной инфраструктуры на окружающую среду.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579DA" w:rsidRPr="00E579DA" w:rsidTr="00AE46E0">
        <w:trPr>
          <w:cantSplit/>
          <w:trHeight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Целевые показатели (индикаторы) развития транспортной инфраструктуры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Технико-экономические показатели: 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60 % 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-Доля муниципальных автомобильных дорог, в отношении которых проводились мероприятия по зимнему и летнему содержанию дорог,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60</w:t>
            </w:r>
            <w:proofErr w:type="gramStart"/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%</w:t>
            </w: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;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-Количество километров отремонтированных автомобильных дорог общего пользования местного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значения,  15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км.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Социально-экономические показатели: 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Обеспеченность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населения  доступными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качественными услугами транспорта 70%,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-Количество дорожно-транспортных происшествий, произошедших на территории поселения, 0 ед.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 Количество погибших и тяжело пострадавших в результате ДТП на территории поселения, 0 чел.</w:t>
            </w:r>
          </w:p>
        </w:tc>
      </w:tr>
      <w:tr w:rsidR="00E579DA" w:rsidRPr="00E579DA" w:rsidTr="00AE46E0">
        <w:tblPrEx>
          <w:tblCellMar>
            <w:top w:w="70" w:type="dxa"/>
            <w:bottom w:w="70" w:type="dxa"/>
          </w:tblCellMar>
        </w:tblPrEx>
        <w:trPr>
          <w:cantSplit/>
          <w:trHeight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Сроки и этапы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реализации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2021 - 2023 годы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Программа реализуется в один этап</w:t>
            </w:r>
          </w:p>
        </w:tc>
      </w:tr>
      <w:tr w:rsidR="00E579DA" w:rsidRPr="00E579DA" w:rsidTr="00AE46E0">
        <w:tblPrEx>
          <w:tblCellMar>
            <w:top w:w="70" w:type="dxa"/>
            <w:bottom w:w="70" w:type="dxa"/>
          </w:tblCellMar>
        </w:tblPrEx>
        <w:trPr>
          <w:cantSplit/>
          <w:trHeight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Укрупненное описание запланированных мероприятий (инвестиционных проектов) по проектированию,</w:t>
            </w:r>
          </w:p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строительству, реконструкции объектов транспортной инфраструктуры (групп мероприятий. подпрограмм, инвестиционных проектов)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К концу 2023 года за счет реализации программных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мероприятий предполагается достижение следующих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результатов: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-ремонт автомобильных дорог общего пользования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местного значения – 80 %;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20 %; 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-повышение безопасности дорожного движения.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-в рамках ассигнований дорожного фонда заключать договора со сторонними организациями на разработку </w:t>
            </w: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техсметной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документации на объекты ремонта автодорог местного значения, составление аукционной документации. Обследование искусственных сооружений. Паспортизация дорог и иных организационных работ, направленных на эффективное расходование средств.</w:t>
            </w:r>
          </w:p>
        </w:tc>
      </w:tr>
      <w:tr w:rsidR="00E579DA" w:rsidRPr="00E579DA" w:rsidTr="00AE46E0">
        <w:trPr>
          <w:cantSplit/>
          <w:trHeight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Объемы и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источники 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>финансирования</w:t>
            </w:r>
            <w:r w:rsidRPr="00E579DA">
              <w:rPr>
                <w:rFonts w:ascii="Arial" w:hAnsi="Arial" w:cs="Arial"/>
                <w:b/>
                <w:sz w:val="24"/>
                <w:szCs w:val="24"/>
                <w:lang w:eastAsia="zh-CN"/>
              </w:rPr>
              <w:br/>
              <w:t xml:space="preserve">Программы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Общий объем финансовых средств, необходимых для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реализации  мероприятий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Программы составит: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в 2021 — 2023 годах 6110,2 тыс. руб., за счет средств дорожного фонда муниципального района «Тунгиро-Олекминский район.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По годам: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2021 — 2132,2  тыс. руб.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2022 — 1959,0  тыс. руб.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2023 — 2019,0  тыс. руб.</w:t>
            </w: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</w:p>
          <w:p w:rsidR="00E579DA" w:rsidRPr="00E579DA" w:rsidRDefault="00E579DA" w:rsidP="00AE46E0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Программа носит прогнозный характер и подлежит ежегодной корректировке в соответствии с бюджетом муниципального района «Тунгиро-Олекминский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район»  на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соответствующий финансовый год.</w:t>
            </w:r>
          </w:p>
        </w:tc>
      </w:tr>
    </w:tbl>
    <w:p w:rsidR="00E579DA" w:rsidRPr="00E579DA" w:rsidRDefault="00E579DA" w:rsidP="00E579DA">
      <w:pPr>
        <w:shd w:val="clear" w:color="auto" w:fill="FFFFFF"/>
        <w:suppressAutoHyphens/>
        <w:spacing w:before="28" w:after="28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rPr>
          <w:rFonts w:ascii="Arial" w:hAnsi="Arial" w:cs="Arial"/>
          <w:sz w:val="24"/>
          <w:szCs w:val="24"/>
          <w:lang w:eastAsia="zh-CN"/>
        </w:rPr>
        <w:sectPr w:rsidR="00E579DA" w:rsidRPr="00E579DA" w:rsidSect="004931FD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E579DA" w:rsidRPr="00E579DA" w:rsidRDefault="00E579DA" w:rsidP="00E579DA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 w:bidi="hi-IN"/>
        </w:rPr>
      </w:pPr>
    </w:p>
    <w:p w:rsidR="00E579DA" w:rsidRPr="00E579DA" w:rsidRDefault="00E579DA" w:rsidP="00E579DA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b/>
          <w:bCs/>
          <w:sz w:val="24"/>
          <w:szCs w:val="24"/>
          <w:lang w:eastAsia="zh-CN" w:bidi="hi-IN"/>
        </w:rPr>
        <w:t>2. Характеристика и основные проблемы, на решение которых</w:t>
      </w:r>
    </w:p>
    <w:p w:rsidR="00E579DA" w:rsidRPr="00E579DA" w:rsidRDefault="00E579DA" w:rsidP="00E579DA">
      <w:pPr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b/>
          <w:bCs/>
          <w:sz w:val="24"/>
          <w:szCs w:val="24"/>
          <w:lang w:eastAsia="zh-CN" w:bidi="hi-IN"/>
        </w:rPr>
        <w:t>направлена Программа</w:t>
      </w:r>
    </w:p>
    <w:p w:rsidR="00E579DA" w:rsidRPr="00E579DA" w:rsidRDefault="00E579DA" w:rsidP="00E579DA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</w:p>
    <w:p w:rsidR="00E579DA" w:rsidRPr="00E579DA" w:rsidRDefault="00E579DA" w:rsidP="00E579DA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Решение проблем с обеспечением безопасности дорожного движения на территории муниципального района «Тунгиро-Олекминский район» требует проведения ряда мероприятий социального, профилактического характера, приведение состояния дорог местного значения в границах поселений и на межселенной территории, удовлетворяющих установленным требованиям.</w:t>
      </w:r>
    </w:p>
    <w:p w:rsidR="00E579DA" w:rsidRPr="00E579DA" w:rsidRDefault="00E579DA" w:rsidP="00E579DA">
      <w:pPr>
        <w:suppressAutoHyphens/>
        <w:ind w:firstLine="540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 xml:space="preserve"> Наибольший процент существующих дорог на территории района не соответствует необходимым требованиям, представляемым к нормальной эксплуатации дорожного полотна. </w:t>
      </w:r>
    </w:p>
    <w:p w:rsidR="00E579DA" w:rsidRPr="00E579DA" w:rsidRDefault="00E579DA" w:rsidP="00E579DA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 xml:space="preserve">Общими причинами неудовлетворительного состояния дорог являются длительные сроки нахождения в эксплуатации, недостаточный уровень ремонта и содержания, сложные климатические условия и влияние неблагоприятных природных факторов. </w:t>
      </w:r>
    </w:p>
    <w:p w:rsidR="00E579DA" w:rsidRPr="00E579DA" w:rsidRDefault="00E579DA" w:rsidP="00E579DA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 xml:space="preserve">В целом, главные особенности развития транспортной сети на </w:t>
      </w:r>
      <w:proofErr w:type="gramStart"/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территории  района</w:t>
      </w:r>
      <w:proofErr w:type="gramEnd"/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 xml:space="preserve"> можно представить следующим образом: 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lastRenderedPageBreak/>
        <w:t>- отсутствие иных видов транспортных путей, кроме автомобильных дорог, на территории района;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-несоответствие уровня развития автомобильных дорог уровню автомобилизации и спросу на автомобильные перевозки;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неравномерность распределения всей сети дорог по территории;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тупиковая транспортная схема района;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наличие в сети дорог, не имеющих асфальтового покрытия;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невозможность круглогодичного использования опорной транспортной сети района с отдаленными селами;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наличие мостов с недостаточным габаритом и грузоподъемностью, техническим состоянием, не соответствующим установленным требованиям;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отсутствие автомобильного сервиса и необходимых обустройств;</w:t>
      </w:r>
    </w:p>
    <w:p w:rsidR="00E579DA" w:rsidRPr="00E579DA" w:rsidRDefault="00E579DA" w:rsidP="00E579DA">
      <w:pPr>
        <w:suppressAutoHyphens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>- отсутствие сооружений инженерной защиты при строительстве элементов транспортной инфраструктуры на территории района, что обусловлено высоким риском возникновения чрезвычайных ситуаций природного характера;</w:t>
      </w:r>
    </w:p>
    <w:p w:rsidR="00E579DA" w:rsidRPr="00E579DA" w:rsidRDefault="00E579DA" w:rsidP="00E579DA">
      <w:pPr>
        <w:suppressAutoHyphens/>
        <w:ind w:firstLine="540"/>
        <w:jc w:val="both"/>
        <w:rPr>
          <w:rFonts w:ascii="Arial" w:eastAsia="Arial" w:hAnsi="Arial" w:cs="Arial"/>
          <w:sz w:val="24"/>
          <w:szCs w:val="24"/>
          <w:lang w:eastAsia="zh-CN" w:bidi="hi-IN"/>
        </w:rPr>
        <w:sectPr w:rsidR="00E579DA" w:rsidRPr="00E579DA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E579DA">
        <w:rPr>
          <w:rFonts w:ascii="Arial" w:eastAsia="Arial" w:hAnsi="Arial" w:cs="Arial"/>
          <w:sz w:val="24"/>
          <w:szCs w:val="24"/>
          <w:lang w:eastAsia="zh-CN" w:bidi="hi-IN"/>
        </w:rPr>
        <w:t xml:space="preserve">Анализ отдельных аспектов несоответствия транспортной системы потребностям социально-экономического развития района показывает, что они не являются проблемами отдельных видов транспорта, а носят комплексный характер. Существующие ограничения связаны, по сути, с отсутствием единой транспортной системы. </w:t>
      </w:r>
    </w:p>
    <w:p w:rsidR="00E579DA" w:rsidRPr="00E579DA" w:rsidRDefault="00E579DA" w:rsidP="00E579DA">
      <w:pPr>
        <w:keepNext/>
        <w:tabs>
          <w:tab w:val="left" w:pos="1080"/>
        </w:tabs>
        <w:suppressAutoHyphens/>
        <w:spacing w:before="240" w:after="60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bCs/>
          <w:iCs/>
          <w:sz w:val="24"/>
          <w:szCs w:val="24"/>
          <w:lang w:eastAsia="zh-CN"/>
        </w:rPr>
        <w:lastRenderedPageBreak/>
        <w:t>Характеристика существующего состояния транспортной инфраструктуры муниципального района «Тунгиро-Олекминский район».</w:t>
      </w:r>
    </w:p>
    <w:p w:rsidR="00E579DA" w:rsidRPr="00E579DA" w:rsidRDefault="00E579DA" w:rsidP="00E579DA">
      <w:pPr>
        <w:tabs>
          <w:tab w:val="left" w:pos="1080"/>
        </w:tabs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tabs>
          <w:tab w:val="left" w:pos="390"/>
        </w:tabs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Анализ положения муниципального района «Тунгиро-Олекминский район» в структуре пространственной организации субъекта Российской Федерации.</w:t>
      </w:r>
    </w:p>
    <w:p w:rsidR="00E579DA" w:rsidRPr="00E579DA" w:rsidRDefault="00E579DA" w:rsidP="00E579DA">
      <w:pPr>
        <w:shd w:val="clear" w:color="auto" w:fill="FFFFFF"/>
        <w:spacing w:line="315" w:lineRule="atLeast"/>
        <w:rPr>
          <w:rFonts w:ascii="Arial" w:hAnsi="Arial" w:cs="Arial"/>
          <w:bCs/>
          <w:sz w:val="24"/>
          <w:szCs w:val="24"/>
        </w:rPr>
      </w:pPr>
    </w:p>
    <w:p w:rsidR="00E579DA" w:rsidRPr="00E579DA" w:rsidRDefault="00E579DA" w:rsidP="00E579DA">
      <w:p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bCs/>
          <w:sz w:val="24"/>
          <w:szCs w:val="24"/>
        </w:rPr>
        <w:t xml:space="preserve">       Тунгиро-Олёкминский </w:t>
      </w:r>
      <w:proofErr w:type="gramStart"/>
      <w:r w:rsidRPr="00E579DA">
        <w:rPr>
          <w:rFonts w:ascii="Arial" w:hAnsi="Arial" w:cs="Arial"/>
          <w:bCs/>
          <w:sz w:val="24"/>
          <w:szCs w:val="24"/>
        </w:rPr>
        <w:t>район</w:t>
      </w:r>
      <w:r w:rsidRPr="00E579DA">
        <w:rPr>
          <w:rFonts w:ascii="Arial" w:hAnsi="Arial" w:cs="Arial"/>
          <w:sz w:val="24"/>
          <w:szCs w:val="24"/>
        </w:rPr>
        <w:t> :</w:t>
      </w:r>
      <w:proofErr w:type="gramEnd"/>
      <w:r w:rsidRPr="00E579DA">
        <w:rPr>
          <w:rFonts w:ascii="Arial" w:hAnsi="Arial" w:cs="Arial"/>
          <w:sz w:val="24"/>
          <w:szCs w:val="24"/>
        </w:rPr>
        <w:t> </w:t>
      </w:r>
      <w:hyperlink r:id="rId10" w:history="1">
        <w:r w:rsidRPr="00E579DA">
          <w:rPr>
            <w:rFonts w:ascii="Arial" w:hAnsi="Arial" w:cs="Arial"/>
            <w:sz w:val="24"/>
            <w:szCs w:val="24"/>
          </w:rPr>
          <w:t>муниципальное образование</w:t>
        </w:r>
      </w:hyperlink>
      <w:r w:rsidRPr="00E579DA">
        <w:rPr>
          <w:rFonts w:ascii="Arial" w:hAnsi="Arial" w:cs="Arial"/>
          <w:sz w:val="24"/>
          <w:szCs w:val="24"/>
        </w:rPr>
        <w:t> в </w:t>
      </w:r>
      <w:hyperlink r:id="rId11" w:history="1">
        <w:r w:rsidRPr="00E579DA">
          <w:rPr>
            <w:rFonts w:ascii="Arial" w:hAnsi="Arial" w:cs="Arial"/>
            <w:sz w:val="24"/>
            <w:szCs w:val="24"/>
          </w:rPr>
          <w:t>Забайка-льском крае</w:t>
        </w:r>
      </w:hyperlink>
      <w:r w:rsidRPr="00E579DA">
        <w:rPr>
          <w:rFonts w:ascii="Arial" w:hAnsi="Arial" w:cs="Arial"/>
          <w:sz w:val="24"/>
          <w:szCs w:val="24"/>
        </w:rPr>
        <w:t xml:space="preserve">  </w:t>
      </w:r>
      <w:hyperlink r:id="rId12" w:history="1">
        <w:r w:rsidRPr="00E579DA">
          <w:rPr>
            <w:rFonts w:ascii="Arial" w:hAnsi="Arial" w:cs="Arial"/>
            <w:sz w:val="24"/>
            <w:szCs w:val="24"/>
          </w:rPr>
          <w:t>Российской Федерации</w:t>
        </w:r>
      </w:hyperlink>
      <w:r w:rsidRPr="00E579DA">
        <w:rPr>
          <w:rFonts w:ascii="Arial" w:hAnsi="Arial" w:cs="Arial"/>
          <w:sz w:val="24"/>
          <w:szCs w:val="24"/>
        </w:rPr>
        <w:t>.</w:t>
      </w:r>
    </w:p>
    <w:p w:rsidR="00E579DA" w:rsidRPr="00E579DA" w:rsidRDefault="00E579DA" w:rsidP="00E579DA">
      <w:pPr>
        <w:shd w:val="clear" w:color="auto" w:fill="FFFFFF"/>
        <w:spacing w:line="315" w:lineRule="atLeast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Район расположен на северо-востоке </w:t>
      </w:r>
      <w:hyperlink r:id="rId13" w:history="1">
        <w:r w:rsidRPr="00E579DA">
          <w:rPr>
            <w:rFonts w:ascii="Arial" w:hAnsi="Arial" w:cs="Arial"/>
            <w:sz w:val="24"/>
            <w:szCs w:val="24"/>
          </w:rPr>
          <w:t>Забайкальского края</w:t>
        </w:r>
      </w:hyperlink>
      <w:r w:rsidRPr="00E579DA">
        <w:rPr>
          <w:rFonts w:ascii="Arial" w:hAnsi="Arial" w:cs="Arial"/>
          <w:sz w:val="24"/>
          <w:szCs w:val="24"/>
        </w:rPr>
        <w:t>.</w:t>
      </w:r>
    </w:p>
    <w:p w:rsidR="00E579DA" w:rsidRPr="00E579DA" w:rsidRDefault="00E579DA" w:rsidP="00E579DA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Численность населения на 01.01.2020 г. составила 1467 человек.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579DA">
        <w:rPr>
          <w:rFonts w:ascii="Arial" w:hAnsi="Arial" w:cs="Arial"/>
          <w:sz w:val="24"/>
          <w:szCs w:val="24"/>
        </w:rPr>
        <w:t>Административным центром муниципального района «Тунгиро-Олёкминский район» является село Тупик.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579DA">
        <w:rPr>
          <w:rFonts w:ascii="Arial" w:hAnsi="Arial" w:cs="Arial"/>
          <w:sz w:val="24"/>
          <w:szCs w:val="24"/>
        </w:rPr>
        <w:t xml:space="preserve">Ближайшая железнодорожная станция пассажирского и грузового сообщения – </w:t>
      </w:r>
      <w:proofErr w:type="spellStart"/>
      <w:r w:rsidRPr="00E579DA">
        <w:rPr>
          <w:rFonts w:ascii="Arial" w:hAnsi="Arial" w:cs="Arial"/>
          <w:sz w:val="24"/>
          <w:szCs w:val="24"/>
        </w:rPr>
        <w:t>ст.Могоча</w:t>
      </w:r>
      <w:proofErr w:type="spellEnd"/>
      <w:r w:rsidRPr="00E579DA">
        <w:rPr>
          <w:rFonts w:ascii="Arial" w:hAnsi="Arial" w:cs="Arial"/>
          <w:sz w:val="24"/>
          <w:szCs w:val="24"/>
        </w:rPr>
        <w:t>, которая находится на расстоянии 96 км. от районного центра.</w:t>
      </w:r>
    </w:p>
    <w:p w:rsidR="00E579DA" w:rsidRPr="00E579DA" w:rsidRDefault="00E579DA" w:rsidP="00E579DA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В состав района входят 2 сельских поселения:</w:t>
      </w:r>
    </w:p>
    <w:p w:rsidR="00E579DA" w:rsidRPr="00E579DA" w:rsidRDefault="00E579DA" w:rsidP="00E579DA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Тупикское сельское поселение, центр — село </w:t>
      </w:r>
      <w:hyperlink r:id="rId14" w:history="1">
        <w:r w:rsidRPr="00E579DA">
          <w:rPr>
            <w:rFonts w:ascii="Arial" w:hAnsi="Arial" w:cs="Arial"/>
            <w:sz w:val="24"/>
            <w:szCs w:val="24"/>
          </w:rPr>
          <w:t>Тупик</w:t>
        </w:r>
      </w:hyperlink>
      <w:r w:rsidRPr="00E579DA">
        <w:rPr>
          <w:rFonts w:ascii="Arial" w:hAnsi="Arial" w:cs="Arial"/>
          <w:sz w:val="24"/>
          <w:szCs w:val="24"/>
        </w:rPr>
        <w:t>, Зареченское сельское поселение, центр- село Заречное и три населенных пункта на межселенной территории: село Гуля, село Моклакан, село </w:t>
      </w:r>
      <w:proofErr w:type="gramStart"/>
      <w:r w:rsidRPr="00E579DA">
        <w:rPr>
          <w:rFonts w:ascii="Arial" w:hAnsi="Arial" w:cs="Arial"/>
          <w:sz w:val="24"/>
          <w:szCs w:val="24"/>
        </w:rPr>
        <w:t>Средняя  Олёкма</w:t>
      </w:r>
      <w:proofErr w:type="gramEnd"/>
      <w:r w:rsidRPr="00E579DA">
        <w:rPr>
          <w:rFonts w:ascii="Arial" w:hAnsi="Arial" w:cs="Arial"/>
          <w:sz w:val="24"/>
          <w:szCs w:val="24"/>
        </w:rPr>
        <w:t>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79DA" w:rsidRPr="00E579DA" w:rsidRDefault="00E579DA" w:rsidP="00E579DA">
      <w:pPr>
        <w:shd w:val="clear" w:color="auto" w:fill="FFFFFF"/>
        <w:spacing w:line="315" w:lineRule="atLeast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Количество населённых пунктов – 5.</w:t>
      </w:r>
      <w:r w:rsidRPr="00E579DA">
        <w:rPr>
          <w:rFonts w:ascii="Arial" w:hAnsi="Arial" w:cs="Arial"/>
          <w:sz w:val="24"/>
          <w:szCs w:val="24"/>
          <w:lang w:eastAsia="zh-CN"/>
        </w:rPr>
        <w:tab/>
      </w: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579DA" w:rsidRPr="00E579DA" w:rsidRDefault="00E579DA" w:rsidP="00E579DA">
      <w:pPr>
        <w:keepNext/>
        <w:numPr>
          <w:ilvl w:val="0"/>
          <w:numId w:val="1"/>
        </w:numPr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579DA">
        <w:rPr>
          <w:rFonts w:ascii="Arial" w:hAnsi="Arial" w:cs="Arial"/>
          <w:b/>
          <w:bCs/>
          <w:kern w:val="32"/>
          <w:sz w:val="24"/>
          <w:szCs w:val="24"/>
        </w:rPr>
        <w:t>Социально-экономическая характеристика, включая деятельность в сфере транспорта, оценка транспортного спроса.</w:t>
      </w:r>
    </w:p>
    <w:p w:rsidR="00E579DA" w:rsidRPr="00E579DA" w:rsidRDefault="00E579DA" w:rsidP="00E579DA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Численность населения муниципального района «Тунгиро-Олёкминский район» по состоянию на 01.01.2020 года составила 1467 человек. Численность населения в разрезе населенных пунктов представлена в </w:t>
      </w:r>
      <w:proofErr w:type="gramStart"/>
      <w:r w:rsidRPr="00E579DA">
        <w:rPr>
          <w:rFonts w:ascii="Arial" w:hAnsi="Arial" w:cs="Arial"/>
          <w:sz w:val="24"/>
          <w:szCs w:val="24"/>
        </w:rPr>
        <w:t>таблице :</w:t>
      </w:r>
      <w:proofErr w:type="gramEnd"/>
    </w:p>
    <w:p w:rsidR="00E579DA" w:rsidRPr="00E579DA" w:rsidRDefault="00E579DA" w:rsidP="00E579DA">
      <w:pPr>
        <w:rPr>
          <w:rFonts w:ascii="Arial" w:hAnsi="Arial" w:cs="Arial"/>
          <w:b/>
          <w:sz w:val="24"/>
          <w:szCs w:val="24"/>
        </w:rPr>
      </w:pPr>
    </w:p>
    <w:p w:rsidR="00E579DA" w:rsidRPr="00E579DA" w:rsidRDefault="00E579DA" w:rsidP="00E579DA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Таблица </w:t>
      </w:r>
      <w:r w:rsidRPr="00E579DA">
        <w:rPr>
          <w:rFonts w:ascii="Arial" w:hAnsi="Arial" w:cs="Arial"/>
          <w:b/>
          <w:sz w:val="24"/>
          <w:szCs w:val="24"/>
        </w:rPr>
        <w:t>Численность населения муниципального района «Тунгиро-Олёкминский район» в разрезе населенных пунктов на 01.01.2020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06"/>
        <w:gridCol w:w="4119"/>
      </w:tblGrid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Население, количество человек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</w:rPr>
              <w:t>с.Тупик</w:t>
            </w:r>
            <w:proofErr w:type="spellEnd"/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</w:rPr>
              <w:t>с.Заречное</w:t>
            </w:r>
            <w:proofErr w:type="spellEnd"/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</w:rPr>
              <w:t>с.Средняя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</w:rPr>
              <w:t xml:space="preserve"> Олекма</w:t>
            </w:r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</w:rPr>
              <w:t>с.Моклакан</w:t>
            </w:r>
            <w:proofErr w:type="spellEnd"/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</w:rPr>
              <w:t>с.Гуля</w:t>
            </w:r>
            <w:proofErr w:type="spellEnd"/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E579DA" w:rsidRPr="00E579DA" w:rsidTr="00AE46E0">
        <w:tc>
          <w:tcPr>
            <w:tcW w:w="64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119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1467</w:t>
            </w:r>
          </w:p>
        </w:tc>
      </w:tr>
    </w:tbl>
    <w:p w:rsidR="00E579DA" w:rsidRPr="00E579DA" w:rsidRDefault="00E579DA" w:rsidP="00E579DA">
      <w:pPr>
        <w:jc w:val="both"/>
        <w:rPr>
          <w:rFonts w:ascii="Arial" w:hAnsi="Arial" w:cs="Arial"/>
          <w:b/>
          <w:sz w:val="24"/>
          <w:szCs w:val="24"/>
        </w:rPr>
      </w:pPr>
    </w:p>
    <w:p w:rsidR="00E579DA" w:rsidRPr="00E579DA" w:rsidRDefault="00E579DA" w:rsidP="00E579D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Таблица </w:t>
      </w:r>
      <w:r w:rsidRPr="00E579DA">
        <w:rPr>
          <w:rFonts w:ascii="Arial" w:hAnsi="Arial" w:cs="Arial"/>
          <w:b/>
          <w:sz w:val="24"/>
          <w:szCs w:val="24"/>
        </w:rPr>
        <w:t>Возрастная структура населения муниципального района «Тунгиро-Олёкминский район» на 01.01.2017 года</w:t>
      </w:r>
    </w:p>
    <w:p w:rsidR="00E579DA" w:rsidRPr="00E579DA" w:rsidRDefault="00E579DA" w:rsidP="00E579DA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193"/>
        <w:gridCol w:w="3175"/>
      </w:tblGrid>
      <w:tr w:rsidR="00E579DA" w:rsidRPr="00E579DA" w:rsidTr="00AE46E0"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Население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E579DA" w:rsidRPr="00E579DA" w:rsidTr="00AE46E0">
        <w:tc>
          <w:tcPr>
            <w:tcW w:w="3225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Дети от 0 до 15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</w:tr>
      <w:tr w:rsidR="00E579DA" w:rsidRPr="00E579DA" w:rsidTr="00AE46E0">
        <w:tc>
          <w:tcPr>
            <w:tcW w:w="3225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E579DA" w:rsidRPr="00E579DA" w:rsidTr="00AE46E0">
        <w:tc>
          <w:tcPr>
            <w:tcW w:w="3225" w:type="dxa"/>
          </w:tcPr>
          <w:p w:rsidR="00E579DA" w:rsidRPr="00E579DA" w:rsidRDefault="00E579DA" w:rsidP="00AE46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 xml:space="preserve">Население пенсионного </w:t>
            </w:r>
            <w:r w:rsidRPr="00E579DA">
              <w:rPr>
                <w:rFonts w:ascii="Arial" w:hAnsi="Arial" w:cs="Arial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lastRenderedPageBreak/>
              <w:t>348</w:t>
            </w:r>
          </w:p>
        </w:tc>
        <w:tc>
          <w:tcPr>
            <w:tcW w:w="3225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</w:tr>
    </w:tbl>
    <w:p w:rsidR="00E579DA" w:rsidRPr="00E579DA" w:rsidRDefault="00E579DA" w:rsidP="00E579DA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Учитывая проведенный анализ прогнозов демографического развития муниципального района «Тунгиро-Олёкминский район», одной из причин низкого демографического развития является экономическое развитие района, в </w:t>
      </w:r>
      <w:proofErr w:type="spellStart"/>
      <w:r w:rsidRPr="00E579DA">
        <w:rPr>
          <w:rFonts w:ascii="Arial" w:hAnsi="Arial" w:cs="Arial"/>
          <w:sz w:val="24"/>
          <w:szCs w:val="24"/>
        </w:rPr>
        <w:t>т.ч</w:t>
      </w:r>
      <w:proofErr w:type="spellEnd"/>
      <w:r w:rsidRPr="00E579DA">
        <w:rPr>
          <w:rFonts w:ascii="Arial" w:hAnsi="Arial" w:cs="Arial"/>
          <w:sz w:val="24"/>
          <w:szCs w:val="24"/>
        </w:rPr>
        <w:t xml:space="preserve"> транспортное сообщение. </w:t>
      </w:r>
    </w:p>
    <w:p w:rsidR="00E579DA" w:rsidRPr="00E579DA" w:rsidRDefault="00E579DA" w:rsidP="00E579D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E579DA" w:rsidRPr="00E579DA" w:rsidRDefault="00E579DA" w:rsidP="00E579D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579DA" w:rsidRPr="00E579DA" w:rsidRDefault="00E579DA" w:rsidP="00E579DA">
      <w:pPr>
        <w:shd w:val="clear" w:color="auto" w:fill="FFFFFF"/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E579DA">
        <w:rPr>
          <w:rFonts w:ascii="Arial" w:hAnsi="Arial" w:cs="Arial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E579DA">
        <w:rPr>
          <w:rFonts w:ascii="Arial" w:hAnsi="Arial" w:cs="Arial"/>
          <w:sz w:val="24"/>
          <w:szCs w:val="24"/>
        </w:rPr>
        <w:t xml:space="preserve">                          </w:t>
      </w:r>
    </w:p>
    <w:p w:rsidR="00E579DA" w:rsidRPr="00E579DA" w:rsidRDefault="00E579DA" w:rsidP="00E579DA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E579DA">
        <w:rPr>
          <w:rFonts w:ascii="Arial" w:hAnsi="Arial" w:cs="Arial"/>
          <w:bCs/>
          <w:sz w:val="24"/>
          <w:szCs w:val="24"/>
        </w:rPr>
        <w:tab/>
        <w:t xml:space="preserve">Транспортные предприятия на территории района отсутствуют. На территории района осуществляют </w:t>
      </w:r>
      <w:proofErr w:type="spellStart"/>
      <w:r w:rsidRPr="00E579DA">
        <w:rPr>
          <w:rFonts w:ascii="Arial" w:hAnsi="Arial" w:cs="Arial"/>
          <w:bCs/>
          <w:sz w:val="24"/>
          <w:szCs w:val="24"/>
        </w:rPr>
        <w:t>пассажироперевозки</w:t>
      </w:r>
      <w:proofErr w:type="spellEnd"/>
      <w:r w:rsidRPr="00E579DA">
        <w:rPr>
          <w:rFonts w:ascii="Arial" w:hAnsi="Arial" w:cs="Arial"/>
          <w:bCs/>
          <w:sz w:val="24"/>
          <w:szCs w:val="24"/>
        </w:rPr>
        <w:t xml:space="preserve"> школьный автобус, индивидуальные предприниматели. В населенных пунктах регулярный транспорт отсутствует. Большинство передвижений в районе приходится на личный транспорт и пешеходные сообщения.                                                                                                                         </w:t>
      </w:r>
    </w:p>
    <w:p w:rsidR="00E579DA" w:rsidRPr="00E579DA" w:rsidRDefault="00E579DA" w:rsidP="00E579DA">
      <w:pPr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579DA">
        <w:rPr>
          <w:rFonts w:ascii="Arial" w:hAnsi="Arial" w:cs="Arial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E579DA" w:rsidRPr="00E579DA" w:rsidRDefault="00E579DA" w:rsidP="00E579DA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>- объекты социальной сферы;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>- объекты трудовой деятельности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- Объекты культурной и спортивной сферы;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- Объект дошкольного и школьного образования;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Характеристика функционирования и показатели работы транспортной инфраструктуры по видам транспорта.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Развитие транспортной системы муниципального района «Тунгиро-Олёкминский район» (далее-район) является необходимым условием для улучшения качества жизни жителей в районе.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Основными структурными элементами транспортной инфраструктуры района являются: сеть улиц и дорог и сопряженная с ней сеть пассажирского транспорта.</w:t>
      </w:r>
    </w:p>
    <w:p w:rsidR="00E579DA" w:rsidRPr="00E579DA" w:rsidRDefault="00E579DA" w:rsidP="00E579D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Воздушные перевозки осуществляются по мере возникновения надобности транспортной организацией, базирующей в </w:t>
      </w:r>
      <w:proofErr w:type="spellStart"/>
      <w:r w:rsidRPr="00E579DA">
        <w:rPr>
          <w:rFonts w:ascii="Arial" w:hAnsi="Arial" w:cs="Arial"/>
          <w:sz w:val="24"/>
          <w:szCs w:val="24"/>
        </w:rPr>
        <w:t>г.Чите</w:t>
      </w:r>
      <w:proofErr w:type="spellEnd"/>
      <w:r w:rsidRPr="00E579DA">
        <w:rPr>
          <w:rFonts w:ascii="Arial" w:hAnsi="Arial" w:cs="Arial"/>
          <w:sz w:val="24"/>
          <w:szCs w:val="24"/>
        </w:rPr>
        <w:t>.</w:t>
      </w:r>
    </w:p>
    <w:p w:rsidR="00E579DA" w:rsidRPr="00E579DA" w:rsidRDefault="00E579DA" w:rsidP="00E579D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Имеется один вид водного транспорта, официально состоящий на учете маломерное судно «</w:t>
      </w:r>
      <w:proofErr w:type="spellStart"/>
      <w:r w:rsidRPr="00E579DA">
        <w:rPr>
          <w:rFonts w:ascii="Arial" w:hAnsi="Arial" w:cs="Arial"/>
          <w:sz w:val="24"/>
          <w:szCs w:val="24"/>
        </w:rPr>
        <w:t>Аэроджет</w:t>
      </w:r>
      <w:proofErr w:type="spellEnd"/>
      <w:r w:rsidRPr="00E579DA">
        <w:rPr>
          <w:rFonts w:ascii="Arial" w:hAnsi="Arial" w:cs="Arial"/>
          <w:sz w:val="24"/>
          <w:szCs w:val="24"/>
        </w:rPr>
        <w:t xml:space="preserve"> 10М».</w:t>
      </w:r>
    </w:p>
    <w:p w:rsidR="00E579DA" w:rsidRPr="00E579DA" w:rsidRDefault="00E579DA" w:rsidP="00E579DA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E579DA">
        <w:rPr>
          <w:rFonts w:ascii="Arial" w:hAnsi="Arial" w:cs="Arial"/>
          <w:snapToGrid w:val="0"/>
          <w:sz w:val="24"/>
          <w:szCs w:val="24"/>
        </w:rPr>
        <w:t xml:space="preserve">     На территории района железнодорожных магистралей нет. </w:t>
      </w:r>
    </w:p>
    <w:p w:rsidR="00E579DA" w:rsidRPr="00E579DA" w:rsidRDefault="00E579DA" w:rsidP="00E579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Характеристика сети дорог, параметры дорожного движения, оценка качества содержания дорог.</w:t>
      </w: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Транспортные связи муниципального района «Тунгиро-Олёкминский район» осуществляются только автомобильным транспортом, обеспечивающим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сообщение  муниципального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образования с соседними населенными пунктами, с краевыми и районными административными центрами, общей транспортной сетью РФ.     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579DA">
        <w:rPr>
          <w:rFonts w:ascii="Arial" w:hAnsi="Arial" w:cs="Arial"/>
          <w:sz w:val="24"/>
          <w:szCs w:val="24"/>
        </w:rPr>
        <w:t>Таблица  -</w:t>
      </w:r>
      <w:proofErr w:type="gramEnd"/>
      <w:r w:rsidRPr="00E579DA">
        <w:rPr>
          <w:rFonts w:ascii="Arial" w:hAnsi="Arial" w:cs="Arial"/>
          <w:sz w:val="24"/>
          <w:szCs w:val="24"/>
        </w:rPr>
        <w:t xml:space="preserve"> Перечень автомобильных дорог, проходящих по территории муниципального района «Тунгиро-Олёкминский район»</w:t>
      </w:r>
    </w:p>
    <w:tbl>
      <w:tblPr>
        <w:tblW w:w="44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955"/>
        <w:gridCol w:w="1418"/>
        <w:gridCol w:w="1842"/>
        <w:gridCol w:w="2126"/>
      </w:tblGrid>
      <w:tr w:rsidR="00E579DA" w:rsidRPr="00E579DA" w:rsidTr="00AE46E0">
        <w:trPr>
          <w:cantSplit/>
          <w:trHeight w:val="191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Наименование дороги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Категория</w:t>
            </w:r>
          </w:p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Автомобильных дорог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Покрытие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Протяженность - всего,</w:t>
            </w:r>
          </w:p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ind w:left="-170" w:right="-106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Протяженность – по территории МР,</w:t>
            </w:r>
          </w:p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Тупикское сельское поселение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14,1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14,1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Зареченское сельское поселение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6,5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6,5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с.Средняя</w:t>
            </w:r>
            <w:proofErr w:type="spellEnd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Олекма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5,3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с. Моклакан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4,2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с.Гуля</w:t>
            </w:r>
            <w:proofErr w:type="spell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гравийное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2,8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2,8</w:t>
            </w:r>
          </w:p>
        </w:tc>
      </w:tr>
      <w:tr w:rsidR="00E579DA" w:rsidRPr="00E579DA" w:rsidTr="00AE46E0">
        <w:trPr>
          <w:trHeight w:val="77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9DA" w:rsidRPr="00E579DA" w:rsidRDefault="00E579DA" w:rsidP="00AE46E0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автозимник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kern w:val="2"/>
                <w:sz w:val="24"/>
                <w:szCs w:val="24"/>
              </w:rPr>
              <w:t>бездорожье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DA" w:rsidRPr="00E579DA" w:rsidRDefault="00E579DA" w:rsidP="00AE46E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579DA">
              <w:rPr>
                <w:rFonts w:ascii="Arial" w:hAnsi="Arial" w:cs="Arial"/>
                <w:sz w:val="24"/>
                <w:szCs w:val="24"/>
                <w:lang w:eastAsia="zh-CN"/>
              </w:rPr>
              <w:t>610,0</w:t>
            </w:r>
          </w:p>
        </w:tc>
      </w:tr>
      <w:tr w:rsidR="00E579DA" w:rsidRPr="00E579DA" w:rsidTr="00AE46E0">
        <w:trPr>
          <w:trHeight w:val="77"/>
        </w:trPr>
        <w:tc>
          <w:tcPr>
            <w:tcW w:w="2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ВСЕГО дорог муниципального образования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642,6</w:t>
            </w:r>
          </w:p>
        </w:tc>
      </w:tr>
    </w:tbl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</w:rPr>
        <w:t xml:space="preserve">    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Конфигурация сети дорог, в основном, соответствует исторически сложившимся направлениям основных транспортно-экономических связей.       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Протяженность автомобильных дорог общего пользования в границах населенных пунктов составляет 32,9 км.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Автомобильные дороги находятся в удовлетворительном состоянии. Однако технические параметры не соответствуют современным требованиям. Данная проблема имеет наибольшее значение для градостроительной системы.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Ремонт (реконструкцию) автомобильных дорог осуществляют сельское поселение «Тупикское», сельское поселение «Зареченское» на основе соглашений о передаче полномочий.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highlight w:val="yellow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работ. По результатам оценки выполненных работ составляется акт о выполненных работах.</w:t>
      </w:r>
      <w:r w:rsidRPr="00E579DA">
        <w:rPr>
          <w:rFonts w:ascii="Arial" w:hAnsi="Arial" w:cs="Arial"/>
          <w:sz w:val="24"/>
          <w:szCs w:val="24"/>
          <w:lang w:eastAsia="zh-CN"/>
        </w:rPr>
        <w:tab/>
      </w:r>
    </w:p>
    <w:p w:rsidR="00E579DA" w:rsidRPr="00E579DA" w:rsidRDefault="00E579DA" w:rsidP="00E579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Анализ состава парка транспортных средств и уровня автомобилизации в муниципальном районе.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Автомобильный парк муниципального района «Тунгиро-Олекминский район» преимущественно состоит из легковых автомобилей, принадлежащих частным лицам. За период 2017-2020 годы отмечается рост транспортных средств и уровня автомобилизации населения.</w:t>
      </w:r>
      <w:r w:rsidRPr="00E579DA">
        <w:rPr>
          <w:rFonts w:ascii="Arial" w:hAnsi="Arial" w:cs="Arial"/>
          <w:sz w:val="24"/>
          <w:szCs w:val="24"/>
        </w:rPr>
        <w:t xml:space="preserve"> 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</w:rPr>
        <w:t xml:space="preserve">       </w:t>
      </w:r>
      <w:r w:rsidRPr="00E579DA">
        <w:rPr>
          <w:rFonts w:ascii="Arial" w:hAnsi="Arial" w:cs="Arial"/>
          <w:sz w:val="24"/>
          <w:szCs w:val="24"/>
          <w:lang w:eastAsia="zh-CN"/>
        </w:rPr>
        <w:t>Детальная информация видов транспорта, рост транспортных средств, уровень автомобилизации отсутствует.</w:t>
      </w:r>
    </w:p>
    <w:p w:rsidR="00E579DA" w:rsidRPr="00E579DA" w:rsidRDefault="00E579DA" w:rsidP="00E579D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lastRenderedPageBreak/>
        <w:t xml:space="preserve">      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E579DA" w:rsidRPr="00E579DA" w:rsidRDefault="00E579DA" w:rsidP="00E579DA">
      <w:pPr>
        <w:jc w:val="both"/>
        <w:rPr>
          <w:rFonts w:ascii="Arial" w:hAnsi="Arial" w:cs="Arial"/>
          <w:kern w:val="2"/>
          <w:sz w:val="24"/>
          <w:szCs w:val="24"/>
        </w:rPr>
      </w:pP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 xml:space="preserve"> Характеристика работы транспортных средств общего пользования</w:t>
      </w:r>
    </w:p>
    <w:p w:rsidR="00E579DA" w:rsidRPr="00E579DA" w:rsidRDefault="00E579DA" w:rsidP="00E579DA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Внутри муниципального района перевозку пассажиров осуществляет такси.  Перевозки детей из сельского поселения «Зареченское» в учебное образовательное учреждение с. Тупик осуществляется школьным автобусом.</w:t>
      </w:r>
      <w:r w:rsidRPr="00E579DA">
        <w:rPr>
          <w:rFonts w:ascii="Arial" w:hAnsi="Arial" w:cs="Arial"/>
          <w:sz w:val="24"/>
          <w:szCs w:val="24"/>
          <w:lang w:eastAsia="zh-CN"/>
        </w:rPr>
        <w:tab/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highlight w:val="yellow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Характеристика условий пешеходного и велосипедного передвижения.</w:t>
      </w:r>
    </w:p>
    <w:p w:rsidR="00E579DA" w:rsidRPr="00E579DA" w:rsidRDefault="00E579DA" w:rsidP="00E579DA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Для пешеходного передвижения на территории муниципального образования имеются деревянные тротуары.</w:t>
      </w:r>
    </w:p>
    <w:p w:rsidR="00E579DA" w:rsidRPr="00E579DA" w:rsidRDefault="00E579DA" w:rsidP="00E579DA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ab/>
        <w:t>Для безопасного перехода граждан через проезжую часть на территории муниципального образования установлены дорожные знаки «Пешеходный переход» и предупреждающие знаки «Осторожно дети» вблизи общеобразовательных учреждений района, мест проведения культурно-массовых мероприятий.</w:t>
      </w:r>
    </w:p>
    <w:p w:rsidR="00E579DA" w:rsidRPr="00E579DA" w:rsidRDefault="00E579DA" w:rsidP="00E579DA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ab/>
        <w:t xml:space="preserve">Специально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отведенных  велосипедных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дорожек нет.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Движение  велосипедного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 транспорта осуществляется по дорогам общего пользования.</w:t>
      </w:r>
    </w:p>
    <w:p w:rsidR="00E579DA" w:rsidRPr="00E579DA" w:rsidRDefault="00E579DA" w:rsidP="00E579DA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  <w:r w:rsidRPr="00E579DA">
        <w:rPr>
          <w:rFonts w:ascii="Arial" w:hAnsi="Arial" w:cs="Arial"/>
          <w:b/>
          <w:sz w:val="24"/>
          <w:szCs w:val="24"/>
          <w:lang w:eastAsia="zh-CN"/>
        </w:rPr>
        <w:tab/>
        <w:t xml:space="preserve">                                                </w:t>
      </w:r>
      <w:r w:rsidRPr="00E579DA">
        <w:rPr>
          <w:rFonts w:ascii="Arial" w:hAnsi="Arial" w:cs="Arial"/>
          <w:b/>
          <w:sz w:val="24"/>
          <w:szCs w:val="24"/>
          <w:lang w:eastAsia="zh-CN"/>
        </w:rPr>
        <w:tab/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Грузовые транспортные средства принадлежат как физическим лицам, так и юридическим. Основная часть перевозимых грузов перевозится привлеченным транспортом. Большую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часть  грузовых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автомашин имеют золотодобывающие компании.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В муниципальном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районе  нет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предприятия по ремонту, обслуживанию и содержанию автодорог. 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b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Анализ уровня безопасности дорожного движения</w:t>
      </w:r>
      <w:r w:rsidRPr="00E579DA">
        <w:rPr>
          <w:rFonts w:ascii="Arial" w:hAnsi="Arial" w:cs="Arial"/>
          <w:b/>
          <w:color w:val="2D2D2D"/>
          <w:spacing w:val="2"/>
          <w:sz w:val="24"/>
          <w:szCs w:val="24"/>
          <w:lang w:eastAsia="zh-CN"/>
        </w:rPr>
        <w:t>.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  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 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      Основными факторами, непосредственно влияющими на безопасность дорожного движения, являются: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 массовое пренебрежение требованиями безопасности дорожного движения со стороны участников дорожного движения, недостаточное информирование общества о соответствующих мероприятиях при их недостаточном понимании и поддержке;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 низкое качество подготовки водителей, приводящее к ошибкам в управлении транспортными средствами и неверной оценке дорожной обстановки, их неудовлетворительная дисциплина, невнимательность и небрежность;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-отсутствие освещенных перекрестков дорог.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lastRenderedPageBreak/>
        <w:t xml:space="preserve">        В этой связи в условиях отсутствия целевого подхода в решении социально-экономической проблемы безопасности дорожного движения, носящей межведомственный характер, применение программно-целевого метода позволит осуществить: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color w:val="2D2D2D"/>
          <w:spacing w:val="2"/>
          <w:sz w:val="24"/>
          <w:szCs w:val="24"/>
          <w:lang w:eastAsia="zh-CN"/>
        </w:rPr>
      </w:pPr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- реализацию комплекса мероприятий, в том числе профилактического характера, снижающих риск </w:t>
      </w:r>
      <w:proofErr w:type="spellStart"/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>дорожно</w:t>
      </w:r>
      <w:proofErr w:type="spellEnd"/>
      <w:r w:rsidRPr="00E579DA">
        <w:rPr>
          <w:rFonts w:ascii="Arial" w:hAnsi="Arial" w:cs="Arial"/>
          <w:color w:val="2D2D2D"/>
          <w:spacing w:val="2"/>
          <w:sz w:val="24"/>
          <w:szCs w:val="24"/>
          <w:lang w:eastAsia="zh-CN"/>
        </w:rPr>
        <w:t xml:space="preserve"> – транспортных происшествий с пострадавшими.</w:t>
      </w:r>
    </w:p>
    <w:p w:rsidR="00E579DA" w:rsidRPr="00E579DA" w:rsidRDefault="00E579DA" w:rsidP="00E579DA">
      <w:pPr>
        <w:shd w:val="clear" w:color="auto" w:fill="FFFFFF"/>
        <w:suppressAutoHyphens/>
        <w:spacing w:before="28" w:after="28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Оценка уровня негативного воздействия транспортной инфраструктуры на окружающую среду, безопасность и здоровья населения.</w:t>
      </w:r>
      <w:r w:rsidRPr="00E579DA">
        <w:rPr>
          <w:rFonts w:ascii="Arial" w:hAnsi="Arial" w:cs="Arial"/>
          <w:b/>
          <w:sz w:val="24"/>
          <w:szCs w:val="24"/>
          <w:lang w:eastAsia="zh-CN"/>
        </w:rPr>
        <w:br/>
      </w:r>
      <w:bookmarkStart w:id="1" w:name="redstr2421"/>
      <w:bookmarkEnd w:id="1"/>
      <w:r w:rsidRPr="00E579DA">
        <w:rPr>
          <w:rFonts w:ascii="Arial" w:hAnsi="Arial" w:cs="Arial"/>
          <w:sz w:val="24"/>
          <w:szCs w:val="24"/>
          <w:lang w:eastAsia="zh-CN"/>
        </w:rPr>
        <w:t xml:space="preserve">      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Рассмотрим характерные факторы, неблагоприятно влияющие на окружающую среду и здоровье.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9DA">
        <w:rPr>
          <w:rFonts w:ascii="Arial" w:hAnsi="Arial" w:cs="Arial"/>
          <w:i/>
          <w:iCs/>
          <w:sz w:val="24"/>
          <w:szCs w:val="24"/>
          <w:lang w:eastAsia="zh-CN"/>
        </w:rPr>
        <w:t>Загрязнение атмосферы.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Выброс в воздух дыма и газообразных загрязняющих веществ (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диоксин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распираторным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аллергическим заболеваниям.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i/>
          <w:iCs/>
          <w:sz w:val="24"/>
          <w:szCs w:val="24"/>
          <w:lang w:eastAsia="zh-CN"/>
        </w:rPr>
        <w:t>Воздействие шума.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Учитывая сложившуюся структуру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района,  отсутствие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дорог с интенсивным движением,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579DA" w:rsidRPr="00E579DA" w:rsidRDefault="00E579DA" w:rsidP="00E579DA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pStyle w:val="ConsPlusNormal0"/>
        <w:widowControl/>
        <w:ind w:firstLine="0"/>
        <w:jc w:val="both"/>
        <w:rPr>
          <w:b/>
          <w:bCs/>
          <w:sz w:val="24"/>
          <w:szCs w:val="24"/>
        </w:rPr>
      </w:pPr>
      <w:r w:rsidRPr="00E579DA">
        <w:rPr>
          <w:b/>
          <w:bCs/>
          <w:sz w:val="24"/>
          <w:szCs w:val="24"/>
        </w:rPr>
        <w:t xml:space="preserve">Характеристика существующих условий и перспектив развития и размещения транспортной инфраструктуры.                                                                    </w:t>
      </w:r>
    </w:p>
    <w:p w:rsidR="00E579DA" w:rsidRPr="00E579DA" w:rsidRDefault="00E579DA" w:rsidP="00E579DA">
      <w:pPr>
        <w:pStyle w:val="ConsPlusNormal0"/>
        <w:widowControl/>
        <w:ind w:firstLine="0"/>
        <w:jc w:val="both"/>
        <w:rPr>
          <w:b/>
          <w:bCs/>
          <w:color w:val="FF0000"/>
          <w:sz w:val="24"/>
          <w:szCs w:val="24"/>
        </w:rPr>
      </w:pPr>
    </w:p>
    <w:p w:rsidR="00E579DA" w:rsidRPr="00E579DA" w:rsidRDefault="00E579DA" w:rsidP="00E579D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E579DA">
        <w:rPr>
          <w:sz w:val="24"/>
          <w:szCs w:val="24"/>
        </w:rPr>
        <w:t xml:space="preserve">          С учетом того, что территория муниципального района «Тунгиро-Олекминский район» по состоянию на 01.01.2020 года не является привлекательной для инвесторов (труднодоступность и заболоченность местности) высоких темпов развития транспортной инфраструктуры на период до 2023 года не ожидается.</w:t>
      </w:r>
    </w:p>
    <w:p w:rsidR="00E579DA" w:rsidRPr="00E579DA" w:rsidRDefault="00E579DA" w:rsidP="00E579DA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E579DA" w:rsidRPr="00E579DA" w:rsidRDefault="00E579DA" w:rsidP="00E579DA">
      <w:pPr>
        <w:pStyle w:val="ConsPlusNormal0"/>
        <w:ind w:firstLine="0"/>
        <w:jc w:val="both"/>
        <w:rPr>
          <w:b/>
          <w:sz w:val="24"/>
          <w:szCs w:val="24"/>
        </w:rPr>
      </w:pPr>
      <w:r w:rsidRPr="00E579DA">
        <w:rPr>
          <w:b/>
          <w:sz w:val="24"/>
          <w:szCs w:val="24"/>
        </w:rPr>
        <w:t>Оценка нормативно-правовой базы, необходимой для функционирования и развития транспортной инфраструктуры района.</w:t>
      </w:r>
    </w:p>
    <w:p w:rsidR="00E579DA" w:rsidRPr="00E579DA" w:rsidRDefault="00E579DA" w:rsidP="00E579DA">
      <w:pPr>
        <w:pStyle w:val="ConsPlusNormal0"/>
        <w:rPr>
          <w:sz w:val="24"/>
          <w:szCs w:val="24"/>
        </w:rPr>
      </w:pPr>
      <w:proofErr w:type="gramStart"/>
      <w:r w:rsidRPr="00E579DA">
        <w:rPr>
          <w:sz w:val="24"/>
          <w:szCs w:val="24"/>
        </w:rPr>
        <w:t>Программа</w:t>
      </w:r>
      <w:r w:rsidRPr="00E579DA">
        <w:rPr>
          <w:rFonts w:eastAsia="Times New Roman"/>
          <w:sz w:val="24"/>
          <w:szCs w:val="24"/>
          <w:lang w:eastAsia="zh-CN"/>
        </w:rPr>
        <w:t xml:space="preserve"> </w:t>
      </w:r>
      <w:r w:rsidRPr="00E579DA">
        <w:rPr>
          <w:sz w:val="24"/>
          <w:szCs w:val="24"/>
        </w:rPr>
        <w:t xml:space="preserve"> «</w:t>
      </w:r>
      <w:proofErr w:type="gramEnd"/>
      <w:r w:rsidRPr="00E579DA">
        <w:rPr>
          <w:sz w:val="24"/>
          <w:szCs w:val="24"/>
        </w:rPr>
        <w:t>Комплексное развитие транспортной инфраструктуры» в муниципальном районе «Тунгиро-Олекминский район» на 2021 – 2023 годы» разработана на основании: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-</w:t>
      </w:r>
      <w:r w:rsidRPr="00E579DA">
        <w:rPr>
          <w:rFonts w:ascii="Arial" w:hAnsi="Arial" w:cs="Arial"/>
          <w:lang w:eastAsia="zh-CN"/>
        </w:rPr>
        <w:t xml:space="preserve"> </w:t>
      </w:r>
      <w:r w:rsidRPr="00E579DA">
        <w:rPr>
          <w:rFonts w:ascii="Arial" w:hAnsi="Arial" w:cs="Arial"/>
          <w:color w:val="000000"/>
        </w:rPr>
        <w:t xml:space="preserve">Федеральный закон № 456-ФЗ от 29.12.2014 г. ст.5 </w:t>
      </w:r>
      <w:proofErr w:type="gramStart"/>
      <w:r w:rsidRPr="00E579DA">
        <w:rPr>
          <w:rFonts w:ascii="Arial" w:hAnsi="Arial" w:cs="Arial"/>
          <w:color w:val="000000"/>
        </w:rPr>
        <w:t>« О</w:t>
      </w:r>
      <w:proofErr w:type="gramEnd"/>
      <w:r w:rsidRPr="00E579DA">
        <w:rPr>
          <w:rFonts w:ascii="Arial" w:hAnsi="Arial" w:cs="Arial"/>
          <w:color w:val="000000"/>
        </w:rPr>
        <w:t xml:space="preserve"> внесении изменений в Градостроительный кодекс РФ и отдельные законодательные акты РФ»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-Федеральный закон от 08.11.2007 № 257-ФЗ (ред. от 01.03.2020)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-Федеральный закон от 10.12.1995 № 196-ФЗ (ред. от 30.07.2019) «О безопасности дорожного движения»;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lastRenderedPageBreak/>
        <w:t>-Постановление Правительства РФ от 23.10.1993 № 1090 (ред. от 26.03.2020г.) «О Правилах дорожного движения»;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-Постановление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Программа позволит обеспечить: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б)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района;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в) развитие транспортной инфраструктуры, сбалансированное с градостроительной деятельностью;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д) условия для управления транспортным спросом;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з) условия для пешеходного передвижения населения;</w:t>
      </w:r>
    </w:p>
    <w:p w:rsidR="00E579DA" w:rsidRPr="00E579DA" w:rsidRDefault="00E579DA" w:rsidP="00E579DA">
      <w:pPr>
        <w:pStyle w:val="a8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E579DA">
        <w:rPr>
          <w:rFonts w:ascii="Arial" w:hAnsi="Arial" w:cs="Arial"/>
          <w:color w:val="000000"/>
        </w:rPr>
        <w:t>и) эффективность функционирования действующей транспортной инфраструктуры.</w:t>
      </w:r>
    </w:p>
    <w:p w:rsidR="00E579DA" w:rsidRPr="00E579DA" w:rsidRDefault="00E579DA" w:rsidP="00E579DA">
      <w:pPr>
        <w:pStyle w:val="Default"/>
        <w:jc w:val="both"/>
        <w:rPr>
          <w:rFonts w:ascii="Arial" w:hAnsi="Arial" w:cs="Arial"/>
        </w:rPr>
      </w:pPr>
    </w:p>
    <w:p w:rsidR="00E579DA" w:rsidRPr="00E579DA" w:rsidRDefault="00E579DA" w:rsidP="00E579DA">
      <w:pPr>
        <w:pStyle w:val="Default"/>
        <w:jc w:val="both"/>
        <w:rPr>
          <w:rFonts w:ascii="Arial" w:hAnsi="Arial" w:cs="Arial"/>
        </w:rPr>
      </w:pP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b/>
        </w:rPr>
      </w:pPr>
      <w:r w:rsidRPr="00E579DA">
        <w:rPr>
          <w:rFonts w:ascii="Arial" w:hAnsi="Arial" w:cs="Arial"/>
          <w:b/>
          <w:bCs/>
        </w:rPr>
        <w:t>Оценка финансирования транспортной инфраструктуры</w:t>
      </w:r>
      <w:r w:rsidRPr="00E579DA">
        <w:rPr>
          <w:rFonts w:ascii="Arial" w:hAnsi="Arial" w:cs="Arial"/>
          <w:b/>
        </w:rPr>
        <w:t xml:space="preserve">. </w:t>
      </w:r>
    </w:p>
    <w:p w:rsidR="00E579DA" w:rsidRPr="00E579DA" w:rsidRDefault="00E579DA" w:rsidP="00E579DA">
      <w:pPr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 </w:t>
      </w:r>
    </w:p>
    <w:p w:rsidR="00E579DA" w:rsidRPr="00E579DA" w:rsidRDefault="00E579DA" w:rsidP="00E579DA">
      <w:pPr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В </w:t>
      </w:r>
      <w:proofErr w:type="gramStart"/>
      <w:r w:rsidRPr="00E579DA">
        <w:rPr>
          <w:rFonts w:ascii="Arial" w:hAnsi="Arial" w:cs="Arial"/>
          <w:sz w:val="24"/>
          <w:szCs w:val="24"/>
        </w:rPr>
        <w:t>таблице  представлены</w:t>
      </w:r>
      <w:proofErr w:type="gramEnd"/>
      <w:r w:rsidRPr="00E579DA">
        <w:rPr>
          <w:rFonts w:ascii="Arial" w:hAnsi="Arial" w:cs="Arial"/>
          <w:sz w:val="24"/>
          <w:szCs w:val="24"/>
        </w:rPr>
        <w:t xml:space="preserve"> данные по объемам финансирования мероприятий по содержанию, ремонту дорог и обеспечение безопасности дорожного движения.</w:t>
      </w: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color w:val="auto"/>
        </w:rPr>
      </w:pPr>
      <w:r w:rsidRPr="00E579DA">
        <w:rPr>
          <w:rFonts w:ascii="Arial" w:hAnsi="Arial" w:cs="Arial"/>
          <w:color w:val="auto"/>
        </w:rPr>
        <w:t xml:space="preserve">     Финансирование работ осуществляются из средств дорожного фонда. В случае разрушения, повреждения транспортной инфраструктуры от опасных метеорологических явлений, а </w:t>
      </w:r>
      <w:proofErr w:type="gramStart"/>
      <w:r w:rsidRPr="00E579DA">
        <w:rPr>
          <w:rFonts w:ascii="Arial" w:hAnsi="Arial" w:cs="Arial"/>
          <w:color w:val="auto"/>
        </w:rPr>
        <w:t>так же</w:t>
      </w:r>
      <w:proofErr w:type="gramEnd"/>
      <w:r w:rsidRPr="00E579DA">
        <w:rPr>
          <w:rFonts w:ascii="Arial" w:hAnsi="Arial" w:cs="Arial"/>
          <w:color w:val="auto"/>
        </w:rPr>
        <w:t xml:space="preserve"> невыполнения плана доходной части дорожного фонда дополнительное финансирование может осуществляться из бюджета муниципального района.  </w:t>
      </w: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color w:val="auto"/>
        </w:rPr>
      </w:pP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color w:val="auto"/>
        </w:rPr>
      </w:pP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color w:val="auto"/>
        </w:rPr>
      </w:pPr>
    </w:p>
    <w:p w:rsidR="00E579DA" w:rsidRPr="00E579DA" w:rsidRDefault="00E579DA" w:rsidP="00E579DA">
      <w:pPr>
        <w:pStyle w:val="Default"/>
        <w:jc w:val="both"/>
        <w:rPr>
          <w:rFonts w:ascii="Arial" w:hAnsi="Arial" w:cs="Arial"/>
          <w:color w:val="auto"/>
        </w:rPr>
      </w:pPr>
    </w:p>
    <w:p w:rsidR="00E579DA" w:rsidRPr="00E579DA" w:rsidRDefault="00E579DA" w:rsidP="00E579DA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579DA">
        <w:rPr>
          <w:rFonts w:ascii="Arial" w:hAnsi="Arial" w:cs="Arial"/>
          <w:sz w:val="24"/>
          <w:szCs w:val="24"/>
          <w:lang w:eastAsia="ar-SA"/>
        </w:rPr>
        <w:t xml:space="preserve">Таблица </w:t>
      </w: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sz w:val="24"/>
          <w:szCs w:val="24"/>
          <w:lang w:eastAsia="ar-SA"/>
        </w:rPr>
        <w:t>Объем финансирования</w:t>
      </w:r>
    </w:p>
    <w:p w:rsidR="00E579DA" w:rsidRPr="00E579DA" w:rsidRDefault="00E579DA" w:rsidP="00E579DA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960"/>
        <w:gridCol w:w="3513"/>
        <w:gridCol w:w="1471"/>
        <w:gridCol w:w="1780"/>
        <w:gridCol w:w="1485"/>
      </w:tblGrid>
      <w:tr w:rsidR="00E579DA" w:rsidRPr="00E579DA" w:rsidTr="00AE46E0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 тыс. руб.</w:t>
            </w:r>
          </w:p>
        </w:tc>
      </w:tr>
      <w:tr w:rsidR="00E579DA" w:rsidRPr="00E579DA" w:rsidTr="00AE46E0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  <w:p w:rsidR="00E579DA" w:rsidRPr="00E579DA" w:rsidRDefault="00E579DA" w:rsidP="00AE46E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(план)</w:t>
            </w:r>
          </w:p>
        </w:tc>
      </w:tr>
      <w:tr w:rsidR="00E579DA" w:rsidRPr="00E579DA" w:rsidTr="00AE46E0">
        <w:trPr>
          <w:trHeight w:val="5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E579DA" w:rsidRPr="00E579DA" w:rsidTr="00AE46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в т. ч. 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E579DA" w:rsidRPr="00E579DA" w:rsidTr="00AE46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bCs/>
                <w:sz w:val="24"/>
                <w:szCs w:val="24"/>
              </w:rPr>
              <w:t>Ремонт дорог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1682,2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1459,0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1469,0</w:t>
            </w:r>
          </w:p>
        </w:tc>
      </w:tr>
      <w:tr w:rsidR="00E579DA" w:rsidRPr="00E579DA" w:rsidTr="00AE46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в т. ч. 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1682,2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1459,0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DA" w:rsidRPr="00E579DA" w:rsidRDefault="00E579DA" w:rsidP="00AE46E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9DA">
              <w:rPr>
                <w:rFonts w:ascii="Arial" w:hAnsi="Arial" w:cs="Arial"/>
                <w:bCs/>
                <w:sz w:val="24"/>
                <w:szCs w:val="24"/>
              </w:rPr>
              <w:t>1469,0</w:t>
            </w:r>
          </w:p>
        </w:tc>
      </w:tr>
    </w:tbl>
    <w:p w:rsidR="00E579DA" w:rsidRPr="00E579DA" w:rsidRDefault="00E579DA" w:rsidP="00E579DA">
      <w:pPr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  <w:lang w:eastAsia="ar-SA"/>
        </w:rPr>
        <w:t xml:space="preserve">          Содержание, ремонт муниципальных дорог и обеспечение безопасности дорожного движения           осуществляют сельское поселение «Тупикское», сельское поселение «Зареченское» на основании Соглашения по </w:t>
      </w:r>
      <w:r w:rsidRPr="00E579DA">
        <w:rPr>
          <w:rFonts w:ascii="Arial" w:hAnsi="Arial" w:cs="Arial"/>
          <w:sz w:val="24"/>
          <w:szCs w:val="24"/>
        </w:rPr>
        <w:t>переданным полномочиям.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В связи со сложившимися климатическими условиями, заболоченностью местности данных средств недостаточно.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 xml:space="preserve">Прогноз транспортного спроса, изменение объемов и характера передвижения населения и перевозок грузов на территории района.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 xml:space="preserve"> Прогноз социально-экономического и градостроительного развития района.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При анализе показателей текущего уровня социально-экономического и градостроительного развития муниципального района «Тунгиро-Олекминский район», отмечается следующее: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-транспортная доступность населенных пунктов сельских поселений удовлетворительная;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-транспортная доступность населенных пунктов на межселенной территории практически отсутствует: ограниченные сроки, только в зимний период.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 Градостроительной развитие территории- в основном в сельских поселениях.</w:t>
      </w: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>Демографический прогноз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Причинами низкого естественного прироста численности населения являются многие факторы, в том числе низкий уровень жизни, не занятость, низкое качество предоставления медицинских </w:t>
      </w:r>
      <w:proofErr w:type="gramStart"/>
      <w:r w:rsidRPr="00E579DA">
        <w:rPr>
          <w:rFonts w:ascii="Arial" w:hAnsi="Arial" w:cs="Arial"/>
          <w:sz w:val="24"/>
          <w:szCs w:val="24"/>
        </w:rPr>
        <w:t>услуг,  неразвитая</w:t>
      </w:r>
      <w:proofErr w:type="gramEnd"/>
      <w:r w:rsidRPr="00E579DA">
        <w:rPr>
          <w:rFonts w:ascii="Arial" w:hAnsi="Arial" w:cs="Arial"/>
          <w:sz w:val="24"/>
          <w:szCs w:val="24"/>
        </w:rPr>
        <w:t>, некачественная дорожная сеть.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>Увеличение рождаемости предполагается за счет: - предоставления материнского (семейного) капитала.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На расчетный срок существенных изменений в демографической ситуации района не предполагается.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>Экономический прогноз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lastRenderedPageBreak/>
        <w:t xml:space="preserve">       Развитие муниципального района «Тунгиро-Олекминский район» по вероятностному сценарию учитывает развитие следующих приоритетных секторов экономики: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- инфраструктуры, прежде всего, в сетевых отраслях: </w:t>
      </w:r>
      <w:proofErr w:type="gramStart"/>
      <w:r w:rsidRPr="00E579DA">
        <w:rPr>
          <w:rFonts w:ascii="Arial" w:hAnsi="Arial" w:cs="Arial"/>
          <w:sz w:val="24"/>
          <w:szCs w:val="24"/>
        </w:rPr>
        <w:t>ЖКХ,  транспорте</w:t>
      </w:r>
      <w:proofErr w:type="gramEnd"/>
      <w:r w:rsidRPr="00E579DA">
        <w:rPr>
          <w:rFonts w:ascii="Arial" w:hAnsi="Arial" w:cs="Arial"/>
          <w:sz w:val="24"/>
          <w:szCs w:val="24"/>
        </w:rPr>
        <w:t>, добыче полезных ископаемых.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По итоговой характеристике социально-экономического развития района можно рассматривать как: - неперспективное для частных инвестиций, в связи с небольшой плотностью населения, труднодоступностью отдаленных сел и высокой себестоимости электроэнергии, отдаленность от краевого центра. Инвестиции привлекательны только для золотодобывающей отрасли.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 xml:space="preserve">Прогноз транспортного спроса муниципального района «Тунгиро-Олекминский район», объемов и характера передвижения и перевозок грузов по видам транспорта, имеющегося на территории района.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Демографическая ситуация в районе позволяет сделать вывод, что значительного изменения транспортного спроса, объемов и характера передвижения населения на территории муниципального района «Тунгиро-Олекминский район» не планируется.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Предприятия и организации, предоставляющие транспортные услуги отсутствуют, в связи с отдаленностью и труднодоступностью сел. Возможен один </w:t>
      </w:r>
      <w:proofErr w:type="spellStart"/>
      <w:r w:rsidRPr="00E579DA">
        <w:rPr>
          <w:rFonts w:ascii="Arial" w:hAnsi="Arial" w:cs="Arial"/>
          <w:sz w:val="24"/>
          <w:szCs w:val="24"/>
        </w:rPr>
        <w:t>внутримуниципальный</w:t>
      </w:r>
      <w:proofErr w:type="spellEnd"/>
      <w:r w:rsidRPr="00E579DA">
        <w:rPr>
          <w:rFonts w:ascii="Arial" w:hAnsi="Arial" w:cs="Arial"/>
          <w:sz w:val="24"/>
          <w:szCs w:val="24"/>
        </w:rPr>
        <w:t xml:space="preserve"> маршрут пассажирских перевозок Тупик-Заречное и один межмуниципальный маршрут Тупик-Могоча.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b/>
          <w:kern w:val="1"/>
          <w:sz w:val="24"/>
          <w:szCs w:val="24"/>
          <w:lang w:eastAsia="ar-SA"/>
        </w:rPr>
        <w:t>Прогноз развития транспортной инфраструктуры по видам транспорта.</w:t>
      </w: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краевыми центрами и ближайшим железнодорожным пунктом будет осуществляться маршрутным такси и личным транспортом, внутри населенных пунктов личным транспортом, такси и пешеходное сообщение.</w:t>
      </w: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kern w:val="1"/>
          <w:sz w:val="24"/>
          <w:szCs w:val="24"/>
          <w:lang w:eastAsia="ar-SA"/>
        </w:rPr>
        <w:t>Прогноз развития дорожной сети района.</w:t>
      </w: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Основными направлениями </w:t>
      </w:r>
      <w:proofErr w:type="gramStart"/>
      <w:r w:rsidRPr="00E579DA">
        <w:rPr>
          <w:rFonts w:ascii="Arial" w:hAnsi="Arial" w:cs="Arial"/>
          <w:kern w:val="1"/>
          <w:sz w:val="24"/>
          <w:szCs w:val="24"/>
          <w:lang w:eastAsia="ar-SA"/>
        </w:rPr>
        <w:t>развития  дорожной</w:t>
      </w:r>
      <w:proofErr w:type="gramEnd"/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 сети района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ремонта, поддержания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kern w:val="1"/>
          <w:sz w:val="24"/>
          <w:szCs w:val="24"/>
          <w:lang w:eastAsia="ar-SA"/>
        </w:rPr>
        <w:t>Прогноз уровня автомобилизации, параметров дорожного движения.</w:t>
      </w:r>
    </w:p>
    <w:p w:rsidR="00E579DA" w:rsidRPr="00E579DA" w:rsidRDefault="00E579DA" w:rsidP="00E579DA">
      <w:pPr>
        <w:suppressAutoHyphens/>
        <w:ind w:firstLine="4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ind w:firstLine="4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Рост аварийности не предполагается.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Факторами, влияющими на снижение аварийности станут обеспечение контроля за выполнением мероприятий по обеспечению безопасности дорожного </w:t>
      </w:r>
      <w:proofErr w:type="gramStart"/>
      <w:r w:rsidRPr="00E579DA">
        <w:rPr>
          <w:rFonts w:ascii="Arial" w:hAnsi="Arial" w:cs="Arial"/>
          <w:sz w:val="24"/>
          <w:szCs w:val="24"/>
        </w:rPr>
        <w:t>движения,  развитие</w:t>
      </w:r>
      <w:proofErr w:type="gramEnd"/>
      <w:r w:rsidRPr="00E579DA">
        <w:rPr>
          <w:rFonts w:ascii="Arial" w:hAnsi="Arial" w:cs="Arial"/>
          <w:sz w:val="24"/>
          <w:szCs w:val="24"/>
        </w:rPr>
        <w:t xml:space="preserve">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может стать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E579DA">
        <w:rPr>
          <w:rFonts w:ascii="Arial" w:hAnsi="Arial" w:cs="Arial"/>
          <w:b/>
          <w:sz w:val="24"/>
          <w:szCs w:val="24"/>
        </w:rPr>
        <w:t xml:space="preserve">Укрупненная оценка принципиальных вариантов развития транспортной инфраструктуры муниципального района «Тунгиро-Олекминский район».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При рассмотрении принципиальных вариантов развития транспортной инфраструктуры муниципального района «Тунгиро-Олекминский район»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района.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 Сценарий развития транспортного комплекса предполагает умеренное развитие экономики связанных с расходами бюджета по финансированию новых инфраструктурных проектов, увеличению финансирования развития человеческого капитала.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3.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инфраструктуры:</w:t>
      </w: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района.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дорожного фонда муниципального района «Тунгиро-</w:t>
      </w:r>
      <w:proofErr w:type="gramStart"/>
      <w:r w:rsidRPr="00E579DA">
        <w:rPr>
          <w:rFonts w:ascii="Arial" w:hAnsi="Arial" w:cs="Arial"/>
          <w:kern w:val="1"/>
          <w:sz w:val="24"/>
          <w:szCs w:val="24"/>
          <w:lang w:eastAsia="ar-SA"/>
        </w:rPr>
        <w:t>Олекминский  район</w:t>
      </w:r>
      <w:proofErr w:type="gramEnd"/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». </w:t>
      </w:r>
    </w:p>
    <w:p w:rsidR="00E579DA" w:rsidRPr="00E579DA" w:rsidRDefault="00E579DA" w:rsidP="00E579DA">
      <w:pPr>
        <w:suppressAutoHyphens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Механизм реализации Программы включает в себя систему мероприятий </w:t>
      </w:r>
      <w:proofErr w:type="gramStart"/>
      <w:r w:rsidRPr="00E579DA">
        <w:rPr>
          <w:rFonts w:ascii="Arial" w:hAnsi="Arial" w:cs="Arial"/>
          <w:kern w:val="1"/>
          <w:sz w:val="24"/>
          <w:szCs w:val="24"/>
          <w:lang w:eastAsia="ar-SA"/>
        </w:rPr>
        <w:t>проводящих  содержание</w:t>
      </w:r>
      <w:proofErr w:type="gramEnd"/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, ремонт  автомобильных дорог общего пользования местного значения в районе, мероприятия по обеспечению безопасности дорожного движения (приобретение дорожных знаков, освещение дорог), размещение статей  и материалов на стенде в школах, в средствах массовой информации </w:t>
      </w:r>
      <w:r w:rsidRPr="00E579DA">
        <w:rPr>
          <w:rFonts w:ascii="Arial" w:hAnsi="Arial" w:cs="Arial"/>
          <w:kern w:val="1"/>
          <w:sz w:val="24"/>
          <w:szCs w:val="24"/>
          <w:u w:val="single"/>
          <w:lang w:eastAsia="ar-SA"/>
        </w:rPr>
        <w:t>(за счет средств учреждений).</w:t>
      </w:r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 Перечень мероприятий по ремонту дорог, формируется администрацией муниципального района «Тунгиро-</w:t>
      </w:r>
      <w:proofErr w:type="gramStart"/>
      <w:r w:rsidRPr="00E579DA">
        <w:rPr>
          <w:rFonts w:ascii="Arial" w:hAnsi="Arial" w:cs="Arial"/>
          <w:kern w:val="1"/>
          <w:sz w:val="24"/>
          <w:szCs w:val="24"/>
          <w:lang w:eastAsia="ar-SA"/>
        </w:rPr>
        <w:t>Олекминский  район</w:t>
      </w:r>
      <w:proofErr w:type="gramEnd"/>
      <w:r w:rsidRPr="00E579DA">
        <w:rPr>
          <w:rFonts w:ascii="Arial" w:hAnsi="Arial" w:cs="Arial"/>
          <w:kern w:val="1"/>
          <w:sz w:val="24"/>
          <w:szCs w:val="24"/>
          <w:lang w:eastAsia="ar-SA"/>
        </w:rPr>
        <w:t xml:space="preserve">»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t xml:space="preserve">       Мероприятия по ремонту, содержанию дорог</w:t>
      </w:r>
      <w:r w:rsidRPr="00E579D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579DA">
        <w:rPr>
          <w:rFonts w:ascii="Arial" w:hAnsi="Arial" w:cs="Arial"/>
          <w:sz w:val="24"/>
          <w:szCs w:val="24"/>
          <w:lang w:eastAsia="ar-SA"/>
        </w:rPr>
        <w:t>и обеспечение безопасности дорожного движения</w:t>
      </w:r>
      <w:r w:rsidRPr="00E579D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579DA">
        <w:rPr>
          <w:rFonts w:ascii="Arial" w:hAnsi="Arial" w:cs="Arial"/>
          <w:sz w:val="24"/>
          <w:szCs w:val="24"/>
        </w:rPr>
        <w:t xml:space="preserve">предлагается в период действия программы реализовать следующий комплекс </w:t>
      </w:r>
      <w:proofErr w:type="gramStart"/>
      <w:r w:rsidRPr="00E579DA">
        <w:rPr>
          <w:rFonts w:ascii="Arial" w:hAnsi="Arial" w:cs="Arial"/>
          <w:sz w:val="24"/>
          <w:szCs w:val="24"/>
        </w:rPr>
        <w:t>мероприятий :</w:t>
      </w:r>
      <w:proofErr w:type="gramEnd"/>
      <w:r w:rsidRPr="00E579DA">
        <w:rPr>
          <w:rFonts w:ascii="Arial" w:hAnsi="Arial" w:cs="Arial"/>
          <w:sz w:val="24"/>
          <w:szCs w:val="24"/>
        </w:rPr>
        <w:t xml:space="preserve"> (таблица).                                                                                                                            </w:t>
      </w: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E579DA" w:rsidRPr="00E579DA" w:rsidRDefault="00E579DA" w:rsidP="00E579DA">
      <w:pPr>
        <w:spacing w:line="100" w:lineRule="atLeast"/>
        <w:rPr>
          <w:rFonts w:ascii="Arial" w:hAnsi="Arial" w:cs="Arial"/>
          <w:sz w:val="24"/>
          <w:szCs w:val="24"/>
        </w:rPr>
        <w:sectPr w:rsidR="00E579DA" w:rsidRPr="00E57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9DA" w:rsidRPr="00E579DA" w:rsidRDefault="00E579DA" w:rsidP="00E579DA">
      <w:pPr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E579DA">
        <w:rPr>
          <w:rFonts w:ascii="Arial" w:hAnsi="Arial" w:cs="Arial"/>
          <w:sz w:val="24"/>
          <w:szCs w:val="24"/>
        </w:rPr>
        <w:lastRenderedPageBreak/>
        <w:t xml:space="preserve">Таблица  </w:t>
      </w:r>
    </w:p>
    <w:p w:rsidR="00E579DA" w:rsidRPr="00E579DA" w:rsidRDefault="00E579DA" w:rsidP="00E579DA">
      <w:pPr>
        <w:spacing w:line="100" w:lineRule="atLeast"/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i/>
          <w:kern w:val="1"/>
          <w:sz w:val="24"/>
          <w:szCs w:val="24"/>
          <w:lang w:eastAsia="ar-SA"/>
        </w:rPr>
        <w:t>ПЕРЕЧЕНЬ</w:t>
      </w:r>
    </w:p>
    <w:p w:rsidR="00E579DA" w:rsidRPr="00E579DA" w:rsidRDefault="00E579DA" w:rsidP="00E579DA">
      <w:pPr>
        <w:jc w:val="center"/>
        <w:rPr>
          <w:rFonts w:ascii="Arial" w:hAnsi="Arial" w:cs="Arial"/>
          <w:b/>
          <w:i/>
          <w:kern w:val="1"/>
          <w:sz w:val="24"/>
          <w:szCs w:val="24"/>
          <w:lang w:eastAsia="ar-SA"/>
        </w:rPr>
      </w:pPr>
      <w:r w:rsidRPr="00E579DA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программных мероприятий Программы </w:t>
      </w:r>
      <w:proofErr w:type="gramStart"/>
      <w:r w:rsidRPr="00E579DA">
        <w:rPr>
          <w:rFonts w:ascii="Arial" w:hAnsi="Arial" w:cs="Arial"/>
          <w:b/>
          <w:i/>
          <w:kern w:val="1"/>
          <w:sz w:val="24"/>
          <w:szCs w:val="24"/>
          <w:lang w:eastAsia="ar-SA"/>
        </w:rPr>
        <w:t>« Комплексное</w:t>
      </w:r>
      <w:proofErr w:type="gramEnd"/>
      <w:r w:rsidRPr="00E579DA">
        <w:rPr>
          <w:rFonts w:ascii="Arial" w:hAnsi="Arial" w:cs="Arial"/>
          <w:b/>
          <w:i/>
          <w:kern w:val="1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2021-2023 годы»</w:t>
      </w:r>
    </w:p>
    <w:p w:rsidR="00E579DA" w:rsidRPr="00E579DA" w:rsidRDefault="00E579DA" w:rsidP="00E579DA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E579DA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E579DA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vertAnchor="text" w:horzAnchor="margin" w:tblpXSpec="center" w:tblpY="8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E579DA" w:rsidRPr="00E579DA" w:rsidTr="00AE46E0">
        <w:trPr>
          <w:trHeight w:val="570"/>
        </w:trPr>
        <w:tc>
          <w:tcPr>
            <w:tcW w:w="708" w:type="dxa"/>
            <w:vMerge w:val="restart"/>
            <w:shd w:val="clear" w:color="auto" w:fill="FFFFFF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579DA" w:rsidRPr="00E579DA" w:rsidRDefault="00E579DA" w:rsidP="00AE46E0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shd w:val="clear" w:color="auto" w:fill="FFFFFF"/>
            <w:hideMark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shd w:val="clear" w:color="auto" w:fill="FFFFFF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shd w:val="clear" w:color="auto" w:fill="FFFFFF"/>
            <w:hideMark/>
          </w:tcPr>
          <w:p w:rsidR="00E579DA" w:rsidRPr="00E579DA" w:rsidRDefault="00E579DA" w:rsidP="00AE46E0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E579DA" w:rsidRPr="00E579DA" w:rsidTr="00AE46E0">
        <w:trPr>
          <w:trHeight w:val="204"/>
        </w:trPr>
        <w:tc>
          <w:tcPr>
            <w:tcW w:w="708" w:type="dxa"/>
            <w:vMerge/>
            <w:vAlign w:val="center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E579DA" w:rsidRPr="00E579DA" w:rsidRDefault="00E579DA" w:rsidP="00AE46E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9DA" w:rsidRPr="00E579DA" w:rsidTr="00AE46E0">
        <w:trPr>
          <w:trHeight w:val="886"/>
        </w:trPr>
        <w:tc>
          <w:tcPr>
            <w:tcW w:w="708" w:type="dxa"/>
            <w:shd w:val="clear" w:color="auto" w:fill="FFFFFF"/>
            <w:hideMark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 xml:space="preserve">Ремонт и содержание дорог, транспортной инфраструктуры 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и  местного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 xml:space="preserve"> значения в границах населенных пунктов района </w:t>
            </w:r>
          </w:p>
          <w:p w:rsidR="00E579DA" w:rsidRPr="00E579DA" w:rsidRDefault="00E579DA" w:rsidP="00AE46E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shd w:val="clear" w:color="auto" w:fill="FFFFFF"/>
            <w:hideMark/>
          </w:tcPr>
          <w:p w:rsidR="00E579DA" w:rsidRPr="00E579DA" w:rsidRDefault="00E579DA" w:rsidP="00AE46E0">
            <w:pPr>
              <w:ind w:right="-75"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shd w:val="clear" w:color="auto" w:fill="FFFFFF"/>
            <w:hideMark/>
          </w:tcPr>
          <w:p w:rsidR="00E579DA" w:rsidRPr="00E579DA" w:rsidRDefault="00E579DA" w:rsidP="00AE46E0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1682,2</w:t>
            </w:r>
          </w:p>
        </w:tc>
        <w:tc>
          <w:tcPr>
            <w:tcW w:w="1276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1459,0</w:t>
            </w:r>
          </w:p>
        </w:tc>
        <w:tc>
          <w:tcPr>
            <w:tcW w:w="1701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1469,0</w:t>
            </w:r>
          </w:p>
        </w:tc>
      </w:tr>
      <w:tr w:rsidR="00E579DA" w:rsidRPr="00E579DA" w:rsidTr="00AE46E0">
        <w:trPr>
          <w:trHeight w:val="1064"/>
        </w:trPr>
        <w:tc>
          <w:tcPr>
            <w:tcW w:w="70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Установка и обслуживание дорожных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shd w:val="clear" w:color="auto" w:fill="FFFFFF"/>
            <w:hideMark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E579DA" w:rsidRPr="00E579DA" w:rsidRDefault="00E579DA" w:rsidP="00AE46E0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579DA" w:rsidRPr="00E579DA" w:rsidTr="00AE46E0">
        <w:trPr>
          <w:trHeight w:val="1500"/>
        </w:trPr>
        <w:tc>
          <w:tcPr>
            <w:tcW w:w="70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Освещение дорожных перекрестков</w:t>
            </w:r>
          </w:p>
        </w:tc>
        <w:tc>
          <w:tcPr>
            <w:tcW w:w="3543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E57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579DA" w:rsidRPr="00E579DA" w:rsidTr="00AE46E0">
        <w:trPr>
          <w:trHeight w:val="1500"/>
        </w:trPr>
        <w:tc>
          <w:tcPr>
            <w:tcW w:w="70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Расчистка зимника до отдаленных сел</w:t>
            </w:r>
          </w:p>
        </w:tc>
        <w:tc>
          <w:tcPr>
            <w:tcW w:w="3543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E579DA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:rsidR="00E579DA" w:rsidRPr="00E579DA" w:rsidRDefault="00E579DA" w:rsidP="00AE46E0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D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579DA" w:rsidRPr="00E579DA" w:rsidTr="00AE46E0">
        <w:trPr>
          <w:trHeight w:val="528"/>
        </w:trPr>
        <w:tc>
          <w:tcPr>
            <w:tcW w:w="708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79DA" w:rsidRPr="00E579DA" w:rsidRDefault="00E579DA" w:rsidP="00AE46E0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2132,2</w:t>
            </w:r>
          </w:p>
        </w:tc>
        <w:tc>
          <w:tcPr>
            <w:tcW w:w="1276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1959,0</w:t>
            </w:r>
          </w:p>
        </w:tc>
        <w:tc>
          <w:tcPr>
            <w:tcW w:w="1701" w:type="dxa"/>
          </w:tcPr>
          <w:p w:rsidR="00E579DA" w:rsidRPr="00E579DA" w:rsidRDefault="00E579DA" w:rsidP="00AE4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>2019,0</w:t>
            </w:r>
          </w:p>
        </w:tc>
      </w:tr>
      <w:tr w:rsidR="00E579DA" w:rsidRPr="00E579DA" w:rsidTr="00AE46E0">
        <w:trPr>
          <w:trHeight w:val="408"/>
        </w:trPr>
        <w:tc>
          <w:tcPr>
            <w:tcW w:w="708" w:type="dxa"/>
            <w:hideMark/>
          </w:tcPr>
          <w:p w:rsidR="00E579DA" w:rsidRPr="00E579DA" w:rsidRDefault="00E579DA" w:rsidP="00AE46E0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hideMark/>
          </w:tcPr>
          <w:p w:rsidR="00E579DA" w:rsidRPr="00E579DA" w:rsidRDefault="00E579DA" w:rsidP="00AE4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9DA">
              <w:rPr>
                <w:rFonts w:ascii="Arial" w:hAnsi="Arial" w:cs="Arial"/>
                <w:b/>
                <w:sz w:val="24"/>
                <w:szCs w:val="24"/>
              </w:rPr>
              <w:t xml:space="preserve">ВСЕГО:                                                                                                                                                                                                                      6110,2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579DA" w:rsidRPr="00E579DA" w:rsidRDefault="00E579DA" w:rsidP="00E579DA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rPr>
          <w:rFonts w:ascii="Arial" w:hAnsi="Arial" w:cs="Arial"/>
          <w:sz w:val="24"/>
          <w:szCs w:val="24"/>
          <w:lang w:eastAsia="zh-CN"/>
        </w:rPr>
        <w:sectPr w:rsidR="00E579DA" w:rsidRPr="00E579DA" w:rsidSect="00733C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lastRenderedPageBreak/>
        <w:t xml:space="preserve"> Мероприятия по развитию транспортной инфраструктуры по видам транспорта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Внесение изменений в структуру транспортной инфраструктуры по видам транспорта не планируется.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 xml:space="preserve"> Мероприятия по развитию транспорта общего пользования, созданию транспортно-пересадочных узлов.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Количество транспорта общего пользования не планируется к изменению.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 xml:space="preserve"> Мероприятия по развитию инфраструктуры для легкового автомобильного транспорта, включая развитие единого парковочного пространства.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По полученному прогнозу среднее арифметическое значение плотности улично-дорожной сети с 2017г. до 2023 г. не меняется. Это означает: нет потребности в увеличении плотности улично-дорожной сети.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 xml:space="preserve">Мероприятия по развитию инфраструктуры пешеходного и велосипедного передвижения.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Мероприятия по развитию велосипедного передвижения не предполагаются в связи с климатическими условиями, интенсивностью движения велосипедистов, ограниченностью ширины пешеходных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дорожек  и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ширины дорожного полотна.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Мероприятия по развитию пешеходного передвижения возможно при получении дополнительных доходов местного бюджета.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Мероприятия по развитию инфраструктуры для грузового транспорта, транспортных средств коммунальных и дорожных служб.</w:t>
      </w: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Мероприятия по развитию инфраструктуры для грузового транспорта не планируются.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Мероприятия по развитию сети автомобильных дорог общего пользования местного значения муниципального района «Тунгиро-Олекминский район».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В целях развития сети дорог района планируются: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- Мероприятия по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содержанию  и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Реализация мероприятий позволит сохранить протяженность автомобильных дорог общего пользования местного значения.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При условии выделения дополнительных средств планируются мероприятия по содержанию автозимников.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Финансирование программы осуществляется за счет средств дорожного фонда муниципального района «Тунгиро-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Олекминский  район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». Ежегодные объемы </w:t>
      </w:r>
      <w:r w:rsidRPr="00E579DA">
        <w:rPr>
          <w:rFonts w:ascii="Arial" w:hAnsi="Arial" w:cs="Arial"/>
          <w:sz w:val="24"/>
          <w:szCs w:val="24"/>
          <w:lang w:eastAsia="zh-CN"/>
        </w:rPr>
        <w:lastRenderedPageBreak/>
        <w:t>финансирования программы определяются в соответствии с утвержденным бюджетом муниципального района «Тунгиро-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Олекминский  район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>»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на 2021г 1886,6 тыс. рублей, на 2022 г. -2036,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4 ,на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2023 г.-2036,4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3-й этап - расчет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итоговой оценки эффективности муниципальной программы.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-Итоговая оценка эффективности муниципальной программы (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P1 = (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Vфакт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+ u) /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Vпл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* 100%, (1)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где: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Vфакт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фактический объем бюджетных средств, направленных на реализацию муниципальной программы за отчетный год;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Vпл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плановый объем бюджетных средств на реализацию муниципальной программы в отчетном году;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u - сумма «положительной экономии». К «положительной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муниципальная программа </w:t>
      </w:r>
      <w:r w:rsidRPr="00E579DA">
        <w:rPr>
          <w:rFonts w:ascii="Arial" w:hAnsi="Arial" w:cs="Arial"/>
          <w:sz w:val="24"/>
          <w:szCs w:val="24"/>
          <w:lang w:eastAsia="zh-CN"/>
        </w:rPr>
        <w:lastRenderedPageBreak/>
        <w:t xml:space="preserve">выполнена в полном объеме, если P1 = 100%; муниципальная программа в целом выполнена, если 80%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&lt; P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1 &lt; 100%; муниципальная программа не выполнена, если P1 &lt; 80%.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P2 = SUM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/ N, i = 1 (2), где: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исполнение i планируемого значения показателя муниципальной программы за отчетный год в процентах; N - число планируемых значений показателей муниципальной программы. Исполнение по каждому показателю муниципальной программы за отчетный год осуществляется по формуле: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=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факт /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пл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* 100%, (3) где: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факт - фактическое значение i показателя за отчетный год;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пл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плановое значение i показателя на отчетный год. 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= 100%. (4)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В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Ki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= 0%. (5 )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муниципальная программа перевыполнена, если P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2 &gt;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100%; муниципальная программа выполнена в полном объеме, если 90% &lt; P2 &lt; 100%; муниципальная программа в целом выполнена, если 75% &lt; P2 &lt; 95% муниципальная программа не выполнена, если P2 &lt; 75%.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-Итоговая оценка эффективности муниципальной программы осуществляется по формуле: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= (P1 + P2) / 2, (6) где: 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Pитог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- итоговая оценка эффективности муниципальной программы за отчетный год.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-Интерпретация итоговой оценки эффективности муниципальной программы осуществляется по следующим критериям: P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итог &gt;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100% высокоэффективная; 90% &lt; P итог &lt; 100% эффективная; 75% &lt; P итог &lt; 90% умеренно эффективная; P итог &lt; 75% неэффективная.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-Результаты итоговой оценки эффективности муниципальной программы (значение P итог) и вывод о ее эффективности (интерпретация оценки) представляются в годовом отчете главы муниципального района. Выполнение мероприятий программы позволит обеспечить к 2023 году: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улучшение транспортно-эксплуатационного состояния существующей дорожной сети автомобильных дорог;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повышение безопасности дорожного движения;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- создание благоприятного климата для привлечения инвестиций в экономику района.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Анализ рисков реализации Программы</w:t>
      </w: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   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заинтересованных лиц, являющихся потенциальными покупателями земельных участков.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    Риск финансового обеспечения связан с недофинансированием основных мероприятий Программы в связи с потенциально возможным дефицитом бюджета района.  Указанный фактор не имеет приоритетного значения, но вместе с тем, может отразиться на </w:t>
      </w:r>
      <w:r w:rsidRPr="00E579DA">
        <w:rPr>
          <w:rFonts w:ascii="Arial" w:hAnsi="Arial" w:cs="Arial"/>
          <w:sz w:val="24"/>
          <w:szCs w:val="24"/>
          <w:lang w:eastAsia="zh-CN"/>
        </w:rPr>
        <w:lastRenderedPageBreak/>
        <w:t xml:space="preserve">реализации ряда мероприятий Программы, в частности, снижения количества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земельных участков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предоставляемых на торгах.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      К правовым рискам реализации Программы можно отнести: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риски, связанные с изменениями законодательства (на федеральном и региональном уровне);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риски, связанные с судебными спорами (</w:t>
      </w:r>
      <w:proofErr w:type="spellStart"/>
      <w:r w:rsidRPr="00E579DA">
        <w:rPr>
          <w:rFonts w:ascii="Arial" w:hAnsi="Arial" w:cs="Arial"/>
          <w:sz w:val="24"/>
          <w:szCs w:val="24"/>
          <w:lang w:eastAsia="zh-CN"/>
        </w:rPr>
        <w:t>правопритязания</w:t>
      </w:r>
      <w:proofErr w:type="spellEnd"/>
      <w:r w:rsidRPr="00E579DA">
        <w:rPr>
          <w:rFonts w:ascii="Arial" w:hAnsi="Arial" w:cs="Arial"/>
          <w:sz w:val="24"/>
          <w:szCs w:val="24"/>
          <w:lang w:eastAsia="zh-CN"/>
        </w:rPr>
        <w:t xml:space="preserve"> третьих лиц на земельные участки).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     Регулирование данной группы рисков осуществляется посредством активной нормотворческой деятельности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на районом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уровне - реализации права законодательной инициативы и участие в разработке краевого законодательства, а также посредством обеспечения защиты прав района в судебном порядке.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         Управленческие риски связаны с изменением политической обстановки, стратегических и тактических задач в работе, перераспределением полномочий между публично-правовыми образованиями, принятием управленческих решений, влияющих на реализацию Программы.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579DA">
        <w:rPr>
          <w:rFonts w:ascii="Arial" w:hAnsi="Arial" w:cs="Arial"/>
          <w:b/>
          <w:sz w:val="24"/>
          <w:szCs w:val="24"/>
          <w:lang w:eastAsia="zh-CN"/>
        </w:rPr>
        <w:t>Механизм реализации программы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  Администрация муниципального района "Тунгиро-Олекминский район»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ежегодное уточнение плана мероприятий по реализации Программы по объемам и источникам финансирования мероприятий;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контроль за реализацией программных мероприятий по срокам, содержанию, финансовым затратам и ресурсам;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 Программа разрабатывается сроком на 3 года и подлежит корректировке ежегодно.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 w:rsidRPr="00E579DA">
        <w:rPr>
          <w:rFonts w:ascii="Arial" w:hAnsi="Arial" w:cs="Arial"/>
          <w:color w:val="FF0000"/>
          <w:sz w:val="24"/>
          <w:szCs w:val="24"/>
          <w:lang w:eastAsia="zh-CN"/>
        </w:rPr>
        <w:t xml:space="preserve">     </w:t>
      </w:r>
      <w:r w:rsidRPr="00E579DA">
        <w:rPr>
          <w:rFonts w:ascii="Arial" w:hAnsi="Arial" w:cs="Arial"/>
          <w:sz w:val="24"/>
          <w:szCs w:val="24"/>
          <w:lang w:eastAsia="zh-CN"/>
        </w:rPr>
        <w:t>Принятие решений по выделению бюджетных средств из бюджета района, принимаются в соответствии с действующим законодательством.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Мониторинг выполнения Программы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транспортной  инфраструктуры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. 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579DA">
        <w:rPr>
          <w:rFonts w:ascii="Arial" w:hAnsi="Arial" w:cs="Arial"/>
          <w:sz w:val="24"/>
          <w:szCs w:val="24"/>
          <w:lang w:eastAsia="zh-CN"/>
        </w:rPr>
        <w:t xml:space="preserve">    Разработка и последующая корректировка Программы комплексного развития </w:t>
      </w:r>
      <w:proofErr w:type="gramStart"/>
      <w:r w:rsidRPr="00E579DA">
        <w:rPr>
          <w:rFonts w:ascii="Arial" w:hAnsi="Arial" w:cs="Arial"/>
          <w:sz w:val="24"/>
          <w:szCs w:val="24"/>
          <w:lang w:eastAsia="zh-CN"/>
        </w:rPr>
        <w:t>транспортной  инфраструктуры</w:t>
      </w:r>
      <w:proofErr w:type="gramEnd"/>
      <w:r w:rsidRPr="00E579DA">
        <w:rPr>
          <w:rFonts w:ascii="Arial" w:hAnsi="Arial" w:cs="Arial"/>
          <w:sz w:val="24"/>
          <w:szCs w:val="24"/>
          <w:lang w:eastAsia="zh-CN"/>
        </w:rPr>
        <w:t xml:space="preserve">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E579DA" w:rsidRPr="00E579DA" w:rsidRDefault="00E579DA" w:rsidP="00E579D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167605" w:rsidRPr="00E579DA" w:rsidRDefault="00167605" w:rsidP="00A942A7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sectPr w:rsidR="00167605" w:rsidRPr="00E579DA" w:rsidSect="00E579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F4" w:rsidRDefault="006E44F4">
      <w:r>
        <w:separator/>
      </w:r>
    </w:p>
  </w:endnote>
  <w:endnote w:type="continuationSeparator" w:id="0">
    <w:p w:rsidR="006E44F4" w:rsidRDefault="006E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DA" w:rsidRDefault="00E579DA">
    <w:pPr>
      <w:pStyle w:val="a6"/>
      <w:jc w:val="center"/>
    </w:pPr>
  </w:p>
  <w:p w:rsidR="00E579DA" w:rsidRDefault="00E579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F4" w:rsidRDefault="006E44F4">
      <w:r>
        <w:separator/>
      </w:r>
    </w:p>
  </w:footnote>
  <w:footnote w:type="continuationSeparator" w:id="0">
    <w:p w:rsidR="006E44F4" w:rsidRDefault="006E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270454"/>
      <w:docPartObj>
        <w:docPartGallery w:val="Page Numbers (Top of Page)"/>
        <w:docPartUnique/>
      </w:docPartObj>
    </w:sdtPr>
    <w:sdtContent>
      <w:p w:rsidR="00E579DA" w:rsidRDefault="00E579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68">
          <w:rPr>
            <w:noProof/>
          </w:rPr>
          <w:t>21</w:t>
        </w:r>
        <w:r>
          <w:fldChar w:fldCharType="end"/>
        </w:r>
      </w:p>
    </w:sdtContent>
  </w:sdt>
  <w:p w:rsidR="00E579DA" w:rsidRDefault="00E579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60E32EC9"/>
    <w:multiLevelType w:val="multilevel"/>
    <w:tmpl w:val="3B3833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3"/>
      <w:numFmt w:val="decimal"/>
      <w:lvlText w:val="%1.%2."/>
      <w:lvlJc w:val="left"/>
      <w:pPr>
        <w:tabs>
          <w:tab w:val="num" w:pos="3032"/>
        </w:tabs>
        <w:ind w:left="3032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/>
        <w:b/>
      </w:r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25DB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67605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485"/>
    <w:rsid w:val="003030D7"/>
    <w:rsid w:val="003054F8"/>
    <w:rsid w:val="00307DBD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473A"/>
    <w:rsid w:val="00415BDC"/>
    <w:rsid w:val="00416717"/>
    <w:rsid w:val="00417DFF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36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1FD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B9F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DF"/>
    <w:rsid w:val="00531C68"/>
    <w:rsid w:val="0053345C"/>
    <w:rsid w:val="00534E17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34DE"/>
    <w:rsid w:val="005842AE"/>
    <w:rsid w:val="00584C71"/>
    <w:rsid w:val="005864E4"/>
    <w:rsid w:val="00586878"/>
    <w:rsid w:val="00593BA9"/>
    <w:rsid w:val="0059736C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5B60"/>
    <w:rsid w:val="006409F3"/>
    <w:rsid w:val="0064169F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E77"/>
    <w:rsid w:val="006D128C"/>
    <w:rsid w:val="006D1B59"/>
    <w:rsid w:val="006D1D4C"/>
    <w:rsid w:val="006D7731"/>
    <w:rsid w:val="006E0D84"/>
    <w:rsid w:val="006E1D77"/>
    <w:rsid w:val="006E3772"/>
    <w:rsid w:val="006E44F4"/>
    <w:rsid w:val="006E6EA4"/>
    <w:rsid w:val="006E79FC"/>
    <w:rsid w:val="006F058C"/>
    <w:rsid w:val="006F0C2A"/>
    <w:rsid w:val="006F111D"/>
    <w:rsid w:val="006F1916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2B35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6A8C"/>
    <w:rsid w:val="00767CE9"/>
    <w:rsid w:val="00770CE5"/>
    <w:rsid w:val="00773107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7268"/>
    <w:rsid w:val="00827FCB"/>
    <w:rsid w:val="0083027D"/>
    <w:rsid w:val="008328A5"/>
    <w:rsid w:val="00833F7C"/>
    <w:rsid w:val="00834AF1"/>
    <w:rsid w:val="00834E9C"/>
    <w:rsid w:val="0083530E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2BFE"/>
    <w:rsid w:val="0087330E"/>
    <w:rsid w:val="008743BF"/>
    <w:rsid w:val="00874D68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20BC"/>
    <w:rsid w:val="009A29D7"/>
    <w:rsid w:val="009A2C0E"/>
    <w:rsid w:val="009A50D7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46B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2A7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07DD2"/>
    <w:rsid w:val="00B112C9"/>
    <w:rsid w:val="00B126E6"/>
    <w:rsid w:val="00B13FBD"/>
    <w:rsid w:val="00B14368"/>
    <w:rsid w:val="00B22CAA"/>
    <w:rsid w:val="00B23370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4E1C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2EBF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326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424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60EB"/>
    <w:rsid w:val="00D21550"/>
    <w:rsid w:val="00D22532"/>
    <w:rsid w:val="00D23BF2"/>
    <w:rsid w:val="00D24353"/>
    <w:rsid w:val="00D24373"/>
    <w:rsid w:val="00D24AA9"/>
    <w:rsid w:val="00D2747B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F92"/>
    <w:rsid w:val="00DA136F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768E"/>
    <w:rsid w:val="00DF7805"/>
    <w:rsid w:val="00E0388A"/>
    <w:rsid w:val="00E04D77"/>
    <w:rsid w:val="00E05216"/>
    <w:rsid w:val="00E05C18"/>
    <w:rsid w:val="00E11E85"/>
    <w:rsid w:val="00E1271F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579DA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B6E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1C9D"/>
    <w:rsid w:val="00F12908"/>
    <w:rsid w:val="00F14385"/>
    <w:rsid w:val="00F14BE1"/>
    <w:rsid w:val="00F14D99"/>
    <w:rsid w:val="00F14F58"/>
    <w:rsid w:val="00F20DE6"/>
    <w:rsid w:val="00F228EC"/>
    <w:rsid w:val="00F27603"/>
    <w:rsid w:val="00F277AD"/>
    <w:rsid w:val="00F3718A"/>
    <w:rsid w:val="00F37C73"/>
    <w:rsid w:val="00F37ECA"/>
    <w:rsid w:val="00F41957"/>
    <w:rsid w:val="00F41AED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4ACF"/>
    <w:rsid w:val="00FB4E99"/>
    <w:rsid w:val="00FB52A6"/>
    <w:rsid w:val="00FB6949"/>
    <w:rsid w:val="00FB6A4B"/>
    <w:rsid w:val="00FC2D43"/>
    <w:rsid w:val="00FC3B6F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0DE83-5AE6-4B98-8E91-90FCF54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A942A7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Mangal"/>
      <w:b/>
      <w:bCs/>
      <w:color w:val="auto"/>
      <w:sz w:val="48"/>
      <w:szCs w:val="48"/>
      <w:lang w:eastAsia="zh-CN"/>
    </w:rPr>
  </w:style>
  <w:style w:type="paragraph" w:styleId="5">
    <w:name w:val="heading 5"/>
    <w:basedOn w:val="a"/>
    <w:next w:val="a0"/>
    <w:link w:val="50"/>
    <w:qFormat/>
    <w:rsid w:val="00A942A7"/>
    <w:pPr>
      <w:keepNext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 w:cs="Mangal"/>
      <w:b/>
      <w:bCs/>
      <w:color w:val="auto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3751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1"/>
    <w:uiPriority w:val="99"/>
    <w:unhideWhenUsed/>
    <w:rsid w:val="00D64722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942A7"/>
    <w:rPr>
      <w:rFonts w:ascii="Liberation Serif" w:eastAsia="SimSun" w:hAnsi="Liberation Serif" w:cs="Mangal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1"/>
    <w:link w:val="5"/>
    <w:rsid w:val="00A942A7"/>
    <w:rPr>
      <w:rFonts w:ascii="Liberation Serif" w:eastAsia="SimSun" w:hAnsi="Liberation Serif" w:cs="Mangal"/>
      <w:b/>
      <w:bCs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A942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A942A7"/>
    <w:rPr>
      <w:rFonts w:asciiTheme="minorHAnsi" w:hAnsiTheme="minorHAnsi" w:cstheme="minorBidi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A942A7"/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A942A7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A942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A942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2A7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A942A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42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A942A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ic.academic.ru/dic.nsf/ruwiki/221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Relationship Id="rId12" Type="http://schemas.openxmlformats.org/officeDocument/2006/relationships/hyperlink" Target="http://dic.academic.ru/dic.nsf/ruwiki/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2216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ruwiki/9475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ruwiki/1339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21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46</cp:revision>
  <cp:lastPrinted>2020-06-10T02:00:00Z</cp:lastPrinted>
  <dcterms:created xsi:type="dcterms:W3CDTF">2017-02-06T01:28:00Z</dcterms:created>
  <dcterms:modified xsi:type="dcterms:W3CDTF">2021-03-02T00:06:00Z</dcterms:modified>
</cp:coreProperties>
</file>